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AE0" w:rsidRDefault="000F763A" w:rsidP="00E87D27">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EL CUMPLIMIENTO POR EQUIVALENCIA COMO FORMA DE </w:t>
      </w:r>
      <w:r w:rsidR="00C374E3">
        <w:rPr>
          <w:rFonts w:ascii="Times New Roman" w:hAnsi="Times New Roman" w:cs="Times New Roman"/>
          <w:sz w:val="24"/>
          <w:szCs w:val="24"/>
        </w:rPr>
        <w:t xml:space="preserve">EJECUCIÓN </w:t>
      </w:r>
      <w:r>
        <w:rPr>
          <w:rFonts w:ascii="Times New Roman" w:hAnsi="Times New Roman" w:cs="Times New Roman"/>
          <w:sz w:val="24"/>
          <w:szCs w:val="24"/>
        </w:rPr>
        <w:t>DE RESOLUCIONES JUDICIALES Y ADMINISTRATIVAS EN INSTRUMENTOS DE PLANEAMIENTO GENERAL.</w:t>
      </w:r>
    </w:p>
    <w:p w:rsidR="00C374E3" w:rsidRDefault="00C374E3" w:rsidP="00C374E3">
      <w:pPr>
        <w:spacing w:line="240" w:lineRule="auto"/>
        <w:jc w:val="right"/>
        <w:rPr>
          <w:rFonts w:ascii="Times New Roman" w:hAnsi="Times New Roman" w:cs="Times New Roman"/>
        </w:rPr>
      </w:pPr>
    </w:p>
    <w:p w:rsidR="00CA26F0" w:rsidRPr="00C374E3" w:rsidRDefault="00CA26F0" w:rsidP="00C374E3">
      <w:pPr>
        <w:spacing w:line="240" w:lineRule="auto"/>
        <w:jc w:val="center"/>
        <w:rPr>
          <w:rFonts w:ascii="Times New Roman" w:hAnsi="Times New Roman" w:cs="Times New Roman"/>
        </w:rPr>
      </w:pPr>
      <w:r w:rsidRPr="00C374E3">
        <w:rPr>
          <w:rFonts w:ascii="Times New Roman" w:hAnsi="Times New Roman" w:cs="Times New Roman"/>
        </w:rPr>
        <w:t>Antonio Jesús Amador Blanco.</w:t>
      </w:r>
    </w:p>
    <w:p w:rsidR="00E87D27" w:rsidRPr="00C374E3" w:rsidRDefault="00E87D27" w:rsidP="00C374E3">
      <w:pPr>
        <w:spacing w:line="240" w:lineRule="auto"/>
        <w:jc w:val="center"/>
        <w:rPr>
          <w:rFonts w:ascii="Times New Roman" w:hAnsi="Times New Roman" w:cs="Times New Roman"/>
        </w:rPr>
      </w:pPr>
      <w:r w:rsidRPr="00C374E3">
        <w:rPr>
          <w:rFonts w:ascii="Times New Roman" w:hAnsi="Times New Roman" w:cs="Times New Roman"/>
        </w:rPr>
        <w:t>Inspector Provincial de la Secretaría General</w:t>
      </w:r>
      <w:bookmarkStart w:id="0" w:name="_GoBack"/>
      <w:bookmarkEnd w:id="0"/>
    </w:p>
    <w:p w:rsidR="00E87D27" w:rsidRPr="00C374E3" w:rsidRDefault="00E87D27" w:rsidP="00C374E3">
      <w:pPr>
        <w:spacing w:line="240" w:lineRule="auto"/>
        <w:jc w:val="center"/>
        <w:rPr>
          <w:rFonts w:ascii="Times New Roman" w:hAnsi="Times New Roman" w:cs="Times New Roman"/>
        </w:rPr>
      </w:pPr>
      <w:proofErr w:type="gramStart"/>
      <w:r w:rsidRPr="00C374E3">
        <w:rPr>
          <w:rFonts w:ascii="Times New Roman" w:hAnsi="Times New Roman" w:cs="Times New Roman"/>
        </w:rPr>
        <w:t>de</w:t>
      </w:r>
      <w:proofErr w:type="gramEnd"/>
      <w:r w:rsidRPr="00C374E3">
        <w:rPr>
          <w:rFonts w:ascii="Times New Roman" w:hAnsi="Times New Roman" w:cs="Times New Roman"/>
        </w:rPr>
        <w:t xml:space="preserve"> Ordenación del Territorio y Sostenibilidad Urbana.</w:t>
      </w:r>
    </w:p>
    <w:p w:rsidR="00E87D27" w:rsidRPr="00C374E3" w:rsidRDefault="00E87D27" w:rsidP="00C374E3">
      <w:pPr>
        <w:spacing w:line="240" w:lineRule="auto"/>
        <w:jc w:val="center"/>
        <w:rPr>
          <w:rFonts w:ascii="Times New Roman" w:hAnsi="Times New Roman" w:cs="Times New Roman"/>
        </w:rPr>
      </w:pPr>
      <w:r w:rsidRPr="00C374E3">
        <w:rPr>
          <w:rFonts w:ascii="Times New Roman" w:hAnsi="Times New Roman" w:cs="Times New Roman"/>
        </w:rPr>
        <w:t>Junta de Andalucía.</w:t>
      </w:r>
    </w:p>
    <w:p w:rsidR="00CA26F0" w:rsidRPr="000372AE" w:rsidRDefault="00CA26F0" w:rsidP="000F763A">
      <w:pPr>
        <w:rPr>
          <w:rFonts w:ascii="Times New Roman" w:hAnsi="Times New Roman" w:cs="Times New Roman"/>
          <w:b/>
          <w:sz w:val="24"/>
          <w:szCs w:val="24"/>
          <w:u w:val="single"/>
        </w:rPr>
      </w:pPr>
      <w:r w:rsidRPr="000372AE">
        <w:rPr>
          <w:rFonts w:ascii="Times New Roman" w:hAnsi="Times New Roman" w:cs="Times New Roman"/>
          <w:b/>
          <w:sz w:val="24"/>
          <w:szCs w:val="24"/>
          <w:u w:val="single"/>
        </w:rPr>
        <w:t xml:space="preserve">Introducción.- </w:t>
      </w:r>
    </w:p>
    <w:p w:rsidR="00E918F5" w:rsidRDefault="000F763A" w:rsidP="00E87D27">
      <w:pPr>
        <w:spacing w:line="240" w:lineRule="auto"/>
        <w:rPr>
          <w:rFonts w:ascii="Times New Roman" w:hAnsi="Times New Roman" w:cs="Times New Roman"/>
          <w:sz w:val="24"/>
          <w:szCs w:val="24"/>
        </w:rPr>
      </w:pPr>
      <w:r>
        <w:rPr>
          <w:rFonts w:ascii="Times New Roman" w:hAnsi="Times New Roman" w:cs="Times New Roman"/>
          <w:sz w:val="24"/>
          <w:szCs w:val="24"/>
        </w:rPr>
        <w:t>La ponencia que me corresponde impartir durante esta mañana del día 6 de Junio voy a estructurarla, con vuestro permiso, en tres elementos o pilares fundamentales que a mi juicio, confluyen en esta figura</w:t>
      </w:r>
      <w:r w:rsidR="00E918F5">
        <w:rPr>
          <w:rFonts w:ascii="Times New Roman" w:hAnsi="Times New Roman" w:cs="Times New Roman"/>
          <w:sz w:val="24"/>
          <w:szCs w:val="24"/>
        </w:rPr>
        <w:t xml:space="preserve"> del </w:t>
      </w:r>
      <w:r w:rsidR="00E918F5" w:rsidRPr="00E918F5">
        <w:rPr>
          <w:rFonts w:ascii="Times New Roman" w:hAnsi="Times New Roman" w:cs="Times New Roman"/>
          <w:sz w:val="24"/>
          <w:szCs w:val="24"/>
          <w:u w:val="single"/>
        </w:rPr>
        <w:t>cumplimiento por equivalencia</w:t>
      </w:r>
      <w:r w:rsidR="00E87D27">
        <w:rPr>
          <w:rFonts w:ascii="Times New Roman" w:hAnsi="Times New Roman" w:cs="Times New Roman"/>
          <w:sz w:val="24"/>
          <w:szCs w:val="24"/>
        </w:rPr>
        <w:t>, que a pesar de no ser novedosa</w:t>
      </w:r>
      <w:r>
        <w:rPr>
          <w:rFonts w:ascii="Times New Roman" w:hAnsi="Times New Roman" w:cs="Times New Roman"/>
          <w:sz w:val="24"/>
          <w:szCs w:val="24"/>
        </w:rPr>
        <w:t xml:space="preserve"> –</w:t>
      </w:r>
      <w:r w:rsidR="00E87D27">
        <w:rPr>
          <w:rFonts w:ascii="Times New Roman" w:hAnsi="Times New Roman" w:cs="Times New Roman"/>
          <w:sz w:val="24"/>
          <w:szCs w:val="24"/>
        </w:rPr>
        <w:t xml:space="preserve">ya se preveía </w:t>
      </w:r>
      <w:r w:rsidR="00E918F5">
        <w:rPr>
          <w:rFonts w:ascii="Times New Roman" w:hAnsi="Times New Roman" w:cs="Times New Roman"/>
          <w:sz w:val="24"/>
          <w:szCs w:val="24"/>
        </w:rPr>
        <w:t>en la Ley de la Jurisdicción Contenciosa de 27/12/1956 en su art. 107 causas de imposibilidad material o legal de llevar a efectivo cumplimiento las sentencias y asimismo en Sentencias del Tribunal Constitucional de comienzos de los años 80- hoy en día, después de más de cincuenta años de existencia sigue siendo denominada por la Jurisprudencia de la Sala del Tribunal Superior de Justicia de Andalucía como  “</w:t>
      </w:r>
      <w:r w:rsidR="00E918F5" w:rsidRPr="00E918F5">
        <w:rPr>
          <w:rFonts w:ascii="Times New Roman" w:hAnsi="Times New Roman" w:cs="Times New Roman"/>
          <w:i/>
          <w:sz w:val="24"/>
          <w:szCs w:val="24"/>
        </w:rPr>
        <w:t>una habilitación legal</w:t>
      </w:r>
      <w:r w:rsidR="00E918F5" w:rsidRPr="00E918F5">
        <w:rPr>
          <w:rFonts w:ascii="Times New Roman" w:hAnsi="Times New Roman" w:cs="Times New Roman"/>
          <w:sz w:val="24"/>
          <w:szCs w:val="24"/>
        </w:rPr>
        <w:t xml:space="preserve"> </w:t>
      </w:r>
      <w:r w:rsidR="00E918F5" w:rsidRPr="00E918F5">
        <w:rPr>
          <w:rFonts w:ascii="Times New Roman" w:hAnsi="Times New Roman" w:cs="Times New Roman"/>
          <w:i/>
          <w:sz w:val="24"/>
          <w:szCs w:val="24"/>
        </w:rPr>
        <w:t>escasamente explorada</w:t>
      </w:r>
      <w:r w:rsidR="00E918F5" w:rsidRPr="00E918F5">
        <w:rPr>
          <w:rFonts w:ascii="Times New Roman" w:hAnsi="Times New Roman" w:cs="Times New Roman"/>
          <w:sz w:val="24"/>
          <w:szCs w:val="24"/>
        </w:rPr>
        <w:t>"</w:t>
      </w:r>
      <w:r w:rsidR="00E918F5">
        <w:rPr>
          <w:rFonts w:ascii="Times New Roman" w:hAnsi="Times New Roman" w:cs="Times New Roman"/>
          <w:sz w:val="24"/>
          <w:szCs w:val="24"/>
        </w:rPr>
        <w:t xml:space="preserve"> (</w:t>
      </w:r>
      <w:r w:rsidR="00E918F5" w:rsidRPr="00FE2BEF">
        <w:rPr>
          <w:rFonts w:ascii="Times New Roman" w:hAnsi="Times New Roman" w:cs="Times New Roman"/>
        </w:rPr>
        <w:t>Auto de fecha 15 de Enero de 2015 dictado  por la Sala de lo CA del TSJ de Andalucía, en incidente de ejecución promovido en el recurso cont.-</w:t>
      </w:r>
      <w:proofErr w:type="spellStart"/>
      <w:r w:rsidR="00E918F5" w:rsidRPr="00FE2BEF">
        <w:rPr>
          <w:rFonts w:ascii="Times New Roman" w:hAnsi="Times New Roman" w:cs="Times New Roman"/>
        </w:rPr>
        <w:t>adtvo</w:t>
      </w:r>
      <w:proofErr w:type="spellEnd"/>
      <w:r w:rsidR="00E918F5" w:rsidRPr="00FE2BEF">
        <w:rPr>
          <w:rFonts w:ascii="Times New Roman" w:hAnsi="Times New Roman" w:cs="Times New Roman"/>
        </w:rPr>
        <w:t>. nº 1934/03</w:t>
      </w:r>
      <w:r w:rsidR="00E918F5">
        <w:rPr>
          <w:rFonts w:ascii="Times New Roman" w:hAnsi="Times New Roman" w:cs="Times New Roman"/>
          <w:sz w:val="24"/>
          <w:szCs w:val="24"/>
        </w:rPr>
        <w:t>)</w:t>
      </w:r>
    </w:p>
    <w:p w:rsidR="000F763A" w:rsidRDefault="00FE2BEF" w:rsidP="00E87D27">
      <w:pPr>
        <w:spacing w:line="240" w:lineRule="auto"/>
        <w:rPr>
          <w:rFonts w:ascii="Times New Roman" w:hAnsi="Times New Roman" w:cs="Times New Roman"/>
          <w:sz w:val="24"/>
          <w:szCs w:val="24"/>
        </w:rPr>
      </w:pPr>
      <w:r>
        <w:rPr>
          <w:rFonts w:ascii="Times New Roman" w:hAnsi="Times New Roman" w:cs="Times New Roman"/>
          <w:sz w:val="24"/>
          <w:szCs w:val="24"/>
        </w:rPr>
        <w:t>Se</w:t>
      </w:r>
      <w:r w:rsidR="000F763A">
        <w:rPr>
          <w:rFonts w:ascii="Times New Roman" w:hAnsi="Times New Roman" w:cs="Times New Roman"/>
          <w:sz w:val="24"/>
          <w:szCs w:val="24"/>
        </w:rPr>
        <w:t xml:space="preserve"> trata de estructurar mi exposición en torno a estos tres elementos; </w:t>
      </w:r>
    </w:p>
    <w:p w:rsidR="000F763A" w:rsidRDefault="000F763A" w:rsidP="000F763A">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E</w:t>
      </w:r>
      <w:r w:rsidRPr="000F763A">
        <w:rPr>
          <w:rFonts w:ascii="Times New Roman" w:hAnsi="Times New Roman" w:cs="Times New Roman"/>
          <w:sz w:val="24"/>
          <w:szCs w:val="24"/>
        </w:rPr>
        <w:t xml:space="preserve">l </w:t>
      </w:r>
      <w:r>
        <w:rPr>
          <w:rFonts w:ascii="Times New Roman" w:hAnsi="Times New Roman" w:cs="Times New Roman"/>
          <w:sz w:val="24"/>
          <w:szCs w:val="24"/>
        </w:rPr>
        <w:t xml:space="preserve">carácter reglado del suelo urbano y las posibilidades legales de </w:t>
      </w:r>
      <w:proofErr w:type="spellStart"/>
      <w:r>
        <w:rPr>
          <w:rFonts w:ascii="Times New Roman" w:hAnsi="Times New Roman" w:cs="Times New Roman"/>
          <w:sz w:val="24"/>
          <w:szCs w:val="24"/>
        </w:rPr>
        <w:t>descategorización</w:t>
      </w:r>
      <w:proofErr w:type="spellEnd"/>
      <w:r>
        <w:rPr>
          <w:rFonts w:ascii="Times New Roman" w:hAnsi="Times New Roman" w:cs="Times New Roman"/>
          <w:sz w:val="24"/>
          <w:szCs w:val="24"/>
        </w:rPr>
        <w:t xml:space="preserve"> del mismo desde la entrada en vigor de la Ley 8/2007, de 28 de Mayo, de Suelo y su Texto Refundido aprobado por Real Decreto 2/2008, de 20 de Junio.</w:t>
      </w:r>
    </w:p>
    <w:p w:rsidR="000F763A" w:rsidRDefault="000F763A" w:rsidP="000F763A">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La consecuencia jurisprudencialmente denominada “indefectible” de la declaración de nulidad de una licencia urbanística o de un título jurídico que ampare una actuación edificatoria, que no será otra que la demolición de lo construido a su amparo.</w:t>
      </w:r>
    </w:p>
    <w:p w:rsidR="003C4C16" w:rsidRDefault="000F763A" w:rsidP="000F763A">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 xml:space="preserve">La existencia de un nuevo instrumento de planeamiento que </w:t>
      </w:r>
      <w:r w:rsidR="00004AB7">
        <w:rPr>
          <w:rFonts w:ascii="Times New Roman" w:hAnsi="Times New Roman" w:cs="Times New Roman"/>
          <w:sz w:val="24"/>
          <w:szCs w:val="24"/>
        </w:rPr>
        <w:t xml:space="preserve">pueda </w:t>
      </w:r>
      <w:r>
        <w:rPr>
          <w:rFonts w:ascii="Times New Roman" w:hAnsi="Times New Roman" w:cs="Times New Roman"/>
          <w:sz w:val="24"/>
          <w:szCs w:val="24"/>
        </w:rPr>
        <w:t xml:space="preserve">servir como elemento objetivo para que el Juez encargado de “hacer cumplir” la sentencia, considere que concurren los elementos necesarios para que la misma pueda cumplirse por equivalencia, es decir, asimilando este concepto al cumplimiento </w:t>
      </w:r>
      <w:r w:rsidR="003C4C16">
        <w:rPr>
          <w:rFonts w:ascii="Times New Roman" w:hAnsi="Times New Roman" w:cs="Times New Roman"/>
          <w:sz w:val="24"/>
          <w:szCs w:val="24"/>
        </w:rPr>
        <w:t xml:space="preserve">en plazo de una serie </w:t>
      </w:r>
      <w:r>
        <w:rPr>
          <w:rFonts w:ascii="Times New Roman" w:hAnsi="Times New Roman" w:cs="Times New Roman"/>
          <w:sz w:val="24"/>
          <w:szCs w:val="24"/>
        </w:rPr>
        <w:t>de cargas urbanísticas o prestaciones económicas que el mismo instrumento de planeamiento prevea en el ámbito en el que</w:t>
      </w:r>
      <w:r w:rsidR="003C4C16">
        <w:rPr>
          <w:rFonts w:ascii="Times New Roman" w:hAnsi="Times New Roman" w:cs="Times New Roman"/>
          <w:sz w:val="24"/>
          <w:szCs w:val="24"/>
        </w:rPr>
        <w:t xml:space="preserve"> ubique la edificación cuyo título ha sido declarado nulo.</w:t>
      </w:r>
    </w:p>
    <w:p w:rsidR="003C4C16" w:rsidRDefault="003C4C16" w:rsidP="003C4C16">
      <w:pPr>
        <w:rPr>
          <w:rFonts w:ascii="Times New Roman" w:hAnsi="Times New Roman" w:cs="Times New Roman"/>
          <w:sz w:val="24"/>
          <w:szCs w:val="24"/>
        </w:rPr>
      </w:pPr>
      <w:r>
        <w:rPr>
          <w:rFonts w:ascii="Times New Roman" w:hAnsi="Times New Roman" w:cs="Times New Roman"/>
          <w:sz w:val="24"/>
          <w:szCs w:val="24"/>
        </w:rPr>
        <w:t xml:space="preserve">En esta fina línea en el que confluyen por un lado,  la potestad del planificador, de la que no está privado pese a la existencia de la sentencia anulatoria y, por otro, el poder judicial, personalizado en el órgano que ha dictado la sentencia cuya ejecución se pretende, intentaré hacer mi exposición de manera que resulte lo más gráfica y práctica para los aquí presentes, teniendo en cuenta el plazo del que disponemos. </w:t>
      </w:r>
    </w:p>
    <w:p w:rsidR="00416763" w:rsidRDefault="00416763" w:rsidP="00416763">
      <w:pPr>
        <w:rPr>
          <w:rFonts w:ascii="Times New Roman" w:hAnsi="Times New Roman" w:cs="Times New Roman"/>
          <w:sz w:val="24"/>
          <w:szCs w:val="24"/>
        </w:rPr>
      </w:pPr>
      <w:r>
        <w:rPr>
          <w:rFonts w:ascii="Times New Roman" w:hAnsi="Times New Roman" w:cs="Times New Roman"/>
          <w:sz w:val="24"/>
          <w:szCs w:val="24"/>
        </w:rPr>
        <w:t xml:space="preserve">Abordaremos también </w:t>
      </w:r>
      <w:r w:rsidRPr="00416763">
        <w:rPr>
          <w:rFonts w:ascii="Times New Roman" w:hAnsi="Times New Roman" w:cs="Times New Roman"/>
          <w:sz w:val="24"/>
          <w:szCs w:val="24"/>
          <w:u w:val="single"/>
        </w:rPr>
        <w:t>dos supuestos concretos</w:t>
      </w:r>
      <w:r>
        <w:rPr>
          <w:rFonts w:ascii="Times New Roman" w:hAnsi="Times New Roman" w:cs="Times New Roman"/>
          <w:sz w:val="24"/>
          <w:szCs w:val="24"/>
        </w:rPr>
        <w:t xml:space="preserve">, que se alejan un poco del estricto ámbito del cumplimiento por equivalencia derivado de resoluciones judiciales, me refiero a aquellos casos en los que han </w:t>
      </w:r>
      <w:r w:rsidRPr="00416763">
        <w:rPr>
          <w:rFonts w:ascii="Times New Roman" w:hAnsi="Times New Roman" w:cs="Times New Roman"/>
          <w:sz w:val="24"/>
          <w:szCs w:val="24"/>
        </w:rPr>
        <w:t>sido</w:t>
      </w:r>
      <w:r w:rsidRPr="00416763">
        <w:rPr>
          <w:rFonts w:ascii="Times New Roman" w:hAnsi="Times New Roman" w:cs="Times New Roman"/>
          <w:sz w:val="24"/>
          <w:szCs w:val="24"/>
          <w:u w:val="single"/>
        </w:rPr>
        <w:t xml:space="preserve"> Leyes Autonómicas de urbanismo, vivienda o de ordenación del territorio</w:t>
      </w:r>
      <w:r>
        <w:rPr>
          <w:rFonts w:ascii="Times New Roman" w:hAnsi="Times New Roman" w:cs="Times New Roman"/>
          <w:sz w:val="24"/>
          <w:szCs w:val="24"/>
        </w:rPr>
        <w:t xml:space="preserve"> las que </w:t>
      </w:r>
      <w:r>
        <w:rPr>
          <w:rFonts w:ascii="Times New Roman" w:hAnsi="Times New Roman" w:cs="Times New Roman"/>
          <w:sz w:val="24"/>
          <w:szCs w:val="24"/>
        </w:rPr>
        <w:lastRenderedPageBreak/>
        <w:t xml:space="preserve">han </w:t>
      </w:r>
      <w:r w:rsidRPr="00416763">
        <w:rPr>
          <w:rFonts w:ascii="Times New Roman" w:hAnsi="Times New Roman" w:cs="Times New Roman"/>
          <w:sz w:val="24"/>
          <w:szCs w:val="24"/>
        </w:rPr>
        <w:t>introduc</w:t>
      </w:r>
      <w:r>
        <w:rPr>
          <w:rFonts w:ascii="Times New Roman" w:hAnsi="Times New Roman" w:cs="Times New Roman"/>
          <w:sz w:val="24"/>
          <w:szCs w:val="24"/>
        </w:rPr>
        <w:t xml:space="preserve">ido </w:t>
      </w:r>
      <w:r w:rsidRPr="00416763">
        <w:rPr>
          <w:rFonts w:ascii="Times New Roman" w:hAnsi="Times New Roman" w:cs="Times New Roman"/>
          <w:sz w:val="24"/>
          <w:szCs w:val="24"/>
        </w:rPr>
        <w:t>condicionantes a la ejecución de sentencias</w:t>
      </w:r>
      <w:r>
        <w:rPr>
          <w:rFonts w:ascii="Times New Roman" w:hAnsi="Times New Roman" w:cs="Times New Roman"/>
          <w:sz w:val="24"/>
          <w:szCs w:val="24"/>
        </w:rPr>
        <w:t xml:space="preserve"> firmes de demolición y, por último, a la previsión contenida en el </w:t>
      </w:r>
      <w:r w:rsidRPr="00416763">
        <w:rPr>
          <w:rFonts w:ascii="Times New Roman" w:hAnsi="Times New Roman" w:cs="Times New Roman"/>
          <w:sz w:val="24"/>
          <w:szCs w:val="24"/>
          <w:u w:val="single"/>
        </w:rPr>
        <w:t>art. 51 del Reglamento de Disciplina Urbanístico Andaluz</w:t>
      </w:r>
      <w:r>
        <w:rPr>
          <w:rFonts w:ascii="Times New Roman" w:hAnsi="Times New Roman" w:cs="Times New Roman"/>
          <w:sz w:val="24"/>
          <w:szCs w:val="24"/>
        </w:rPr>
        <w:t xml:space="preserve"> que bajo la denominación de “</w:t>
      </w:r>
      <w:r w:rsidRPr="0011330C">
        <w:rPr>
          <w:rFonts w:ascii="Times New Roman" w:hAnsi="Times New Roman" w:cs="Times New Roman"/>
          <w:i/>
          <w:sz w:val="24"/>
          <w:szCs w:val="24"/>
        </w:rPr>
        <w:t>cumplimiento por equivalencia</w:t>
      </w:r>
      <w:r>
        <w:rPr>
          <w:rFonts w:ascii="Times New Roman" w:hAnsi="Times New Roman" w:cs="Times New Roman"/>
          <w:sz w:val="24"/>
          <w:szCs w:val="24"/>
        </w:rPr>
        <w:t xml:space="preserve">” ha recogido toda la práctica jurisprudencial consolidada y ha previsto dicho cumplimiento alternativo pero </w:t>
      </w:r>
      <w:r w:rsidRPr="0020017A">
        <w:rPr>
          <w:rFonts w:ascii="Times New Roman" w:hAnsi="Times New Roman" w:cs="Times New Roman"/>
          <w:sz w:val="24"/>
          <w:szCs w:val="24"/>
          <w:u w:val="single"/>
        </w:rPr>
        <w:t>para el caso de resoluciones administrativas firmes</w:t>
      </w:r>
      <w:r>
        <w:rPr>
          <w:rFonts w:ascii="Times New Roman" w:hAnsi="Times New Roman" w:cs="Times New Roman"/>
          <w:sz w:val="24"/>
          <w:szCs w:val="24"/>
        </w:rPr>
        <w:t xml:space="preserve"> en las que se ordena la demolición de edificaciones y dejando siempre a salvo la potestad jurisdicciona</w:t>
      </w:r>
      <w:r w:rsidR="0011330C">
        <w:rPr>
          <w:rFonts w:ascii="Times New Roman" w:hAnsi="Times New Roman" w:cs="Times New Roman"/>
          <w:sz w:val="24"/>
          <w:szCs w:val="24"/>
        </w:rPr>
        <w:t>l de hacer ejecutar lo juzgado, en los casos en que haya recaído resolución judicial firme.</w:t>
      </w:r>
    </w:p>
    <w:p w:rsidR="00416763" w:rsidRPr="00416763" w:rsidRDefault="00416763" w:rsidP="00416763">
      <w:pPr>
        <w:rPr>
          <w:rFonts w:ascii="Times New Roman" w:hAnsi="Times New Roman" w:cs="Times New Roman"/>
          <w:sz w:val="24"/>
          <w:szCs w:val="24"/>
        </w:rPr>
      </w:pPr>
      <w:r>
        <w:rPr>
          <w:rFonts w:ascii="Times New Roman" w:hAnsi="Times New Roman" w:cs="Times New Roman"/>
          <w:sz w:val="24"/>
          <w:szCs w:val="24"/>
        </w:rPr>
        <w:t xml:space="preserve"> </w:t>
      </w:r>
    </w:p>
    <w:p w:rsidR="003C4C16" w:rsidRPr="000D442D" w:rsidRDefault="000D442D" w:rsidP="003C4C16">
      <w:pPr>
        <w:rPr>
          <w:rFonts w:ascii="Times New Roman" w:hAnsi="Times New Roman" w:cs="Times New Roman"/>
          <w:b/>
          <w:sz w:val="24"/>
          <w:szCs w:val="24"/>
        </w:rPr>
      </w:pPr>
      <w:r w:rsidRPr="000D442D">
        <w:rPr>
          <w:rFonts w:ascii="Times New Roman" w:hAnsi="Times New Roman" w:cs="Times New Roman"/>
          <w:b/>
          <w:sz w:val="24"/>
          <w:szCs w:val="24"/>
        </w:rPr>
        <w:t>1.</w:t>
      </w:r>
      <w:r w:rsidRPr="000D442D">
        <w:rPr>
          <w:rFonts w:ascii="Times New Roman" w:hAnsi="Times New Roman" w:cs="Times New Roman"/>
          <w:b/>
          <w:sz w:val="24"/>
          <w:szCs w:val="24"/>
        </w:rPr>
        <w:tab/>
        <w:t xml:space="preserve">El carácter reglado del suelo urbano y las posibilidades legales de </w:t>
      </w:r>
      <w:proofErr w:type="spellStart"/>
      <w:r w:rsidRPr="000D442D">
        <w:rPr>
          <w:rFonts w:ascii="Times New Roman" w:hAnsi="Times New Roman" w:cs="Times New Roman"/>
          <w:b/>
          <w:sz w:val="24"/>
          <w:szCs w:val="24"/>
        </w:rPr>
        <w:t>descategorización</w:t>
      </w:r>
      <w:proofErr w:type="spellEnd"/>
      <w:r w:rsidRPr="000D442D">
        <w:rPr>
          <w:rFonts w:ascii="Times New Roman" w:hAnsi="Times New Roman" w:cs="Times New Roman"/>
          <w:b/>
          <w:sz w:val="24"/>
          <w:szCs w:val="24"/>
        </w:rPr>
        <w:t xml:space="preserve"> del mismo desde la entrada en vigor de la Ley 8/2007, de 28 de Mayo, de Suelo y su Texto Refundido aprobado por Real Decreto 2/2008, de 20 de Junio.</w:t>
      </w:r>
    </w:p>
    <w:p w:rsidR="00D002CE" w:rsidRDefault="00D002CE" w:rsidP="008A71CD">
      <w:pPr>
        <w:rPr>
          <w:rFonts w:ascii="Times New Roman" w:hAnsi="Times New Roman" w:cs="Times New Roman"/>
          <w:sz w:val="24"/>
          <w:szCs w:val="24"/>
        </w:rPr>
      </w:pPr>
      <w:r>
        <w:rPr>
          <w:rFonts w:ascii="Times New Roman" w:hAnsi="Times New Roman" w:cs="Times New Roman"/>
          <w:sz w:val="24"/>
          <w:szCs w:val="24"/>
        </w:rPr>
        <w:t>Los aquí presentes tenemos más o menos claro, que el suelo urbano al igual que el suelo no urbanizable de especial protección son ambos de naturaleza reglada; el segundo y conforme a la Legislación Estatal de suelo siempre y cuando concurran en el mismo una serie de valores ecológicos, agrícolas, ganaderos, forestales o paisajísticos que exijan dicho régimen de especial protección (</w:t>
      </w:r>
      <w:r w:rsidRPr="00D002CE">
        <w:rPr>
          <w:rFonts w:ascii="Times New Roman" w:hAnsi="Times New Roman" w:cs="Times New Roman"/>
          <w:i/>
          <w:sz w:val="24"/>
          <w:szCs w:val="24"/>
        </w:rPr>
        <w:t xml:space="preserve">deberán quedar sujetos a tal protección </w:t>
      </w:r>
      <w:r>
        <w:rPr>
          <w:rFonts w:ascii="Times New Roman" w:hAnsi="Times New Roman" w:cs="Times New Roman"/>
          <w:sz w:val="24"/>
          <w:szCs w:val="24"/>
        </w:rPr>
        <w:t>dice el legislador estatal en el art. 21.2.a) TRLS/2015).</w:t>
      </w:r>
    </w:p>
    <w:p w:rsidR="00ED7280" w:rsidRDefault="00D002CE" w:rsidP="008A71CD">
      <w:pPr>
        <w:rPr>
          <w:rFonts w:ascii="Times New Roman" w:hAnsi="Times New Roman" w:cs="Times New Roman"/>
          <w:sz w:val="24"/>
          <w:szCs w:val="24"/>
        </w:rPr>
      </w:pPr>
      <w:r>
        <w:rPr>
          <w:rFonts w:ascii="Times New Roman" w:hAnsi="Times New Roman" w:cs="Times New Roman"/>
          <w:sz w:val="24"/>
          <w:szCs w:val="24"/>
        </w:rPr>
        <w:t xml:space="preserve">Respecto al suelo urbano su naturaleza reglada le viene impuesta </w:t>
      </w:r>
      <w:r w:rsidR="00ED7280">
        <w:rPr>
          <w:rFonts w:ascii="Times New Roman" w:hAnsi="Times New Roman" w:cs="Times New Roman"/>
          <w:sz w:val="24"/>
          <w:szCs w:val="24"/>
        </w:rPr>
        <w:t xml:space="preserve">tanto </w:t>
      </w:r>
      <w:r w:rsidR="00D10FE7">
        <w:rPr>
          <w:rFonts w:ascii="Times New Roman" w:hAnsi="Times New Roman" w:cs="Times New Roman"/>
          <w:sz w:val="24"/>
          <w:szCs w:val="24"/>
        </w:rPr>
        <w:t xml:space="preserve">por arriba como por abajo, </w:t>
      </w:r>
      <w:r w:rsidR="00ED7280">
        <w:rPr>
          <w:rFonts w:ascii="Times New Roman" w:hAnsi="Times New Roman" w:cs="Times New Roman"/>
          <w:sz w:val="24"/>
          <w:szCs w:val="24"/>
        </w:rPr>
        <w:t xml:space="preserve"> </w:t>
      </w:r>
      <w:r>
        <w:rPr>
          <w:rFonts w:ascii="Times New Roman" w:hAnsi="Times New Roman" w:cs="Times New Roman"/>
          <w:sz w:val="24"/>
          <w:szCs w:val="24"/>
        </w:rPr>
        <w:t xml:space="preserve"> me explico; </w:t>
      </w:r>
      <w:r w:rsidR="008A71CD" w:rsidRPr="008A71CD">
        <w:rPr>
          <w:rFonts w:ascii="Times New Roman" w:hAnsi="Times New Roman" w:cs="Times New Roman"/>
          <w:sz w:val="24"/>
          <w:szCs w:val="24"/>
        </w:rPr>
        <w:t xml:space="preserve">el autor del plan no pueda clasificar como </w:t>
      </w:r>
      <w:r w:rsidR="00ED7280">
        <w:rPr>
          <w:rFonts w:ascii="Times New Roman" w:hAnsi="Times New Roman" w:cs="Times New Roman"/>
          <w:sz w:val="24"/>
          <w:szCs w:val="24"/>
        </w:rPr>
        <w:t xml:space="preserve">suelo urbano </w:t>
      </w:r>
      <w:r w:rsidR="008A71CD" w:rsidRPr="008A71CD">
        <w:rPr>
          <w:rFonts w:ascii="Times New Roman" w:hAnsi="Times New Roman" w:cs="Times New Roman"/>
          <w:sz w:val="24"/>
          <w:szCs w:val="24"/>
        </w:rPr>
        <w:t xml:space="preserve">el que carezca de </w:t>
      </w:r>
      <w:r w:rsidR="00ED7280">
        <w:rPr>
          <w:rFonts w:ascii="Times New Roman" w:hAnsi="Times New Roman" w:cs="Times New Roman"/>
          <w:sz w:val="24"/>
          <w:szCs w:val="24"/>
        </w:rPr>
        <w:t xml:space="preserve">unos determinados </w:t>
      </w:r>
      <w:r w:rsidR="008A71CD" w:rsidRPr="008A71CD">
        <w:rPr>
          <w:rFonts w:ascii="Times New Roman" w:hAnsi="Times New Roman" w:cs="Times New Roman"/>
          <w:sz w:val="24"/>
          <w:szCs w:val="24"/>
        </w:rPr>
        <w:t xml:space="preserve"> servicios </w:t>
      </w:r>
      <w:r w:rsidR="00ED7280">
        <w:rPr>
          <w:rFonts w:ascii="Times New Roman" w:hAnsi="Times New Roman" w:cs="Times New Roman"/>
          <w:sz w:val="24"/>
          <w:szCs w:val="24"/>
        </w:rPr>
        <w:t xml:space="preserve">urbanísticos básicos </w:t>
      </w:r>
      <w:r w:rsidR="00D10FE7">
        <w:rPr>
          <w:rFonts w:ascii="Times New Roman" w:hAnsi="Times New Roman" w:cs="Times New Roman"/>
          <w:sz w:val="24"/>
          <w:szCs w:val="24"/>
        </w:rPr>
        <w:t>o de un determinado porcentaje de consolidación por la edificación y, por otro lado, si tendrá  el deber de clasificarlo como tal cuando concurran tales requisitos urbanísticos</w:t>
      </w:r>
      <w:r w:rsidR="00ED7280" w:rsidRPr="00ED7280">
        <w:rPr>
          <w:rFonts w:ascii="Times New Roman" w:hAnsi="Times New Roman" w:cs="Times New Roman"/>
          <w:sz w:val="24"/>
          <w:szCs w:val="24"/>
        </w:rPr>
        <w:t xml:space="preserve">, siempre y cuando </w:t>
      </w:r>
      <w:r w:rsidR="00ED7280">
        <w:rPr>
          <w:rFonts w:ascii="Times New Roman" w:hAnsi="Times New Roman" w:cs="Times New Roman"/>
          <w:sz w:val="24"/>
          <w:szCs w:val="24"/>
        </w:rPr>
        <w:t xml:space="preserve">y con los matices que veremos, </w:t>
      </w:r>
      <w:r w:rsidR="00ED7280" w:rsidRPr="00ED7280">
        <w:rPr>
          <w:rFonts w:ascii="Times New Roman" w:hAnsi="Times New Roman" w:cs="Times New Roman"/>
          <w:sz w:val="24"/>
          <w:szCs w:val="24"/>
        </w:rPr>
        <w:t>esos servicios resulten de dimensiones adecuadas para las edificaciones y usos previstos en el planeamiento</w:t>
      </w:r>
      <w:r w:rsidR="00ED7280">
        <w:rPr>
          <w:rFonts w:ascii="Times New Roman" w:hAnsi="Times New Roman" w:cs="Times New Roman"/>
          <w:sz w:val="24"/>
          <w:szCs w:val="24"/>
        </w:rPr>
        <w:t>.</w:t>
      </w:r>
    </w:p>
    <w:p w:rsidR="00ED5567" w:rsidRDefault="00ED7280" w:rsidP="008A71CD">
      <w:pPr>
        <w:rPr>
          <w:rFonts w:ascii="Times New Roman" w:hAnsi="Times New Roman" w:cs="Times New Roman"/>
          <w:sz w:val="24"/>
          <w:szCs w:val="24"/>
        </w:rPr>
      </w:pPr>
      <w:r>
        <w:rPr>
          <w:rFonts w:ascii="Times New Roman" w:hAnsi="Times New Roman" w:cs="Times New Roman"/>
          <w:sz w:val="24"/>
          <w:szCs w:val="24"/>
        </w:rPr>
        <w:t xml:space="preserve">Respecto a los servicios urbanísticos básicos necesarios para tal clasificación, el art. </w:t>
      </w:r>
      <w:r w:rsidR="00ED5567">
        <w:rPr>
          <w:rFonts w:ascii="Times New Roman" w:hAnsi="Times New Roman" w:cs="Times New Roman"/>
          <w:sz w:val="24"/>
          <w:szCs w:val="24"/>
        </w:rPr>
        <w:t>21</w:t>
      </w:r>
      <w:r>
        <w:rPr>
          <w:rFonts w:ascii="Times New Roman" w:hAnsi="Times New Roman" w:cs="Times New Roman"/>
          <w:sz w:val="24"/>
          <w:szCs w:val="24"/>
        </w:rPr>
        <w:t xml:space="preserve">.3 del </w:t>
      </w:r>
      <w:r w:rsidR="00ED5567">
        <w:rPr>
          <w:rFonts w:ascii="Times New Roman" w:hAnsi="Times New Roman" w:cs="Times New Roman"/>
          <w:sz w:val="24"/>
          <w:szCs w:val="24"/>
        </w:rPr>
        <w:t xml:space="preserve"> TRLS/2015</w:t>
      </w:r>
      <w:r>
        <w:rPr>
          <w:rFonts w:ascii="Times New Roman" w:hAnsi="Times New Roman" w:cs="Times New Roman"/>
          <w:sz w:val="24"/>
          <w:szCs w:val="24"/>
        </w:rPr>
        <w:t xml:space="preserve"> establece que se encuentra en la situación de suelo urbanizado </w:t>
      </w:r>
      <w:r w:rsidR="00ED5567">
        <w:rPr>
          <w:rFonts w:ascii="Times New Roman" w:hAnsi="Times New Roman" w:cs="Times New Roman"/>
          <w:sz w:val="24"/>
          <w:szCs w:val="24"/>
        </w:rPr>
        <w:t>el que se encuentre legalmente integrado en una malla urbana conformada por una red de viales, dotaciones y parcelas propias del núcleo o asentamiento de población del que forme parte y cumpla “</w:t>
      </w:r>
      <w:r w:rsidR="00ED5567" w:rsidRPr="00C93BDE">
        <w:rPr>
          <w:rFonts w:ascii="Times New Roman" w:hAnsi="Times New Roman" w:cs="Times New Roman"/>
          <w:sz w:val="24"/>
          <w:szCs w:val="24"/>
          <w:u w:val="single"/>
        </w:rPr>
        <w:t>alguna de las siguientes condiciones</w:t>
      </w:r>
      <w:r w:rsidR="00ED5567">
        <w:rPr>
          <w:rFonts w:ascii="Times New Roman" w:hAnsi="Times New Roman" w:cs="Times New Roman"/>
          <w:sz w:val="24"/>
          <w:szCs w:val="24"/>
        </w:rPr>
        <w:t>”</w:t>
      </w:r>
      <w:r>
        <w:rPr>
          <w:rFonts w:ascii="Times New Roman" w:hAnsi="Times New Roman" w:cs="Times New Roman"/>
          <w:sz w:val="24"/>
          <w:szCs w:val="24"/>
        </w:rPr>
        <w:t xml:space="preserve">.  A continuación </w:t>
      </w:r>
      <w:r w:rsidR="00ED5567">
        <w:rPr>
          <w:rFonts w:ascii="Times New Roman" w:hAnsi="Times New Roman" w:cs="Times New Roman"/>
          <w:sz w:val="24"/>
          <w:szCs w:val="24"/>
        </w:rPr>
        <w:t>el legislador estatal remite a la legislación urbanística aplicable de cada Comunidad Autónoma el concepto de consolidación por su grado de urbanización y por estar dotados de una serie de servicios urbanísticos básicos (</w:t>
      </w:r>
      <w:r w:rsidR="008A71CD" w:rsidRPr="008A71CD">
        <w:rPr>
          <w:rFonts w:ascii="Times New Roman" w:hAnsi="Times New Roman" w:cs="Times New Roman"/>
          <w:sz w:val="24"/>
          <w:szCs w:val="24"/>
        </w:rPr>
        <w:t xml:space="preserve">acceso rodado por vía urbana, abastecimiento de agua, saneamiento y suministro de energía eléctrica); </w:t>
      </w:r>
      <w:r w:rsidR="00D10FE7">
        <w:rPr>
          <w:rFonts w:ascii="Times New Roman" w:hAnsi="Times New Roman" w:cs="Times New Roman"/>
          <w:sz w:val="24"/>
          <w:szCs w:val="24"/>
        </w:rPr>
        <w:t xml:space="preserve">y por otro lado al concepto de </w:t>
      </w:r>
      <w:r w:rsidR="00E43BB7">
        <w:rPr>
          <w:rFonts w:ascii="Times New Roman" w:hAnsi="Times New Roman" w:cs="Times New Roman"/>
          <w:sz w:val="24"/>
          <w:szCs w:val="24"/>
        </w:rPr>
        <w:t xml:space="preserve">consolidación por la edificación, es decir, que </w:t>
      </w:r>
      <w:proofErr w:type="spellStart"/>
      <w:r w:rsidR="00FE2BEF">
        <w:rPr>
          <w:rFonts w:ascii="Times New Roman" w:hAnsi="Times New Roman" w:cs="Times New Roman"/>
          <w:sz w:val="24"/>
          <w:szCs w:val="24"/>
        </w:rPr>
        <w:t>aún</w:t>
      </w:r>
      <w:proofErr w:type="spellEnd"/>
      <w:r w:rsidR="00E43BB7">
        <w:rPr>
          <w:rFonts w:ascii="Times New Roman" w:hAnsi="Times New Roman" w:cs="Times New Roman"/>
          <w:sz w:val="24"/>
          <w:szCs w:val="24"/>
        </w:rPr>
        <w:t xml:space="preserve"> careciendo de algunos de los servicios señalados estén comprendido en áreas ocupadas por la edificación en el porcentaje que disponga dicha legislación autonómica</w:t>
      </w:r>
      <w:r w:rsidR="00D10FE7">
        <w:rPr>
          <w:rFonts w:ascii="Times New Roman" w:hAnsi="Times New Roman" w:cs="Times New Roman"/>
          <w:sz w:val="24"/>
          <w:szCs w:val="24"/>
        </w:rPr>
        <w:t xml:space="preserve"> según la ordenación propuesta por el instrumento de planificación correspondiente.</w:t>
      </w:r>
    </w:p>
    <w:p w:rsidR="00E43BB7" w:rsidRDefault="00E43BB7" w:rsidP="008A71CD">
      <w:pPr>
        <w:rPr>
          <w:rFonts w:ascii="Times New Roman" w:hAnsi="Times New Roman" w:cs="Times New Roman"/>
          <w:sz w:val="24"/>
          <w:szCs w:val="24"/>
        </w:rPr>
      </w:pPr>
      <w:r>
        <w:rPr>
          <w:rFonts w:ascii="Times New Roman" w:hAnsi="Times New Roman" w:cs="Times New Roman"/>
          <w:sz w:val="24"/>
          <w:szCs w:val="24"/>
        </w:rPr>
        <w:t xml:space="preserve">Son estos los conceptos que recoge el art. 21 del TRLS/2015 y </w:t>
      </w:r>
      <w:r w:rsidR="00C93BDE">
        <w:rPr>
          <w:rFonts w:ascii="Times New Roman" w:hAnsi="Times New Roman" w:cs="Times New Roman"/>
          <w:sz w:val="24"/>
          <w:szCs w:val="24"/>
        </w:rPr>
        <w:t xml:space="preserve">el art. </w:t>
      </w:r>
      <w:r>
        <w:rPr>
          <w:rFonts w:ascii="Times New Roman" w:hAnsi="Times New Roman" w:cs="Times New Roman"/>
          <w:sz w:val="24"/>
          <w:szCs w:val="24"/>
        </w:rPr>
        <w:t>16 de la Ley 2/2016, de 10 de</w:t>
      </w:r>
      <w:r w:rsidR="00C93BDE">
        <w:rPr>
          <w:rFonts w:ascii="Times New Roman" w:hAnsi="Times New Roman" w:cs="Times New Roman"/>
          <w:sz w:val="24"/>
          <w:szCs w:val="24"/>
        </w:rPr>
        <w:t xml:space="preserve"> Febrero de suelo de Galicia, concretándose en éste que la consolidación por la edificación deberá ser al menos correspondiente a </w:t>
      </w:r>
      <w:r w:rsidR="00C93BDE" w:rsidRPr="00C93BDE">
        <w:rPr>
          <w:rFonts w:ascii="Times New Roman" w:hAnsi="Times New Roman" w:cs="Times New Roman"/>
          <w:sz w:val="24"/>
          <w:szCs w:val="24"/>
        </w:rPr>
        <w:t>2/3 partes de los espacios aptos para ella</w:t>
      </w:r>
      <w:r w:rsidR="00C93BDE">
        <w:rPr>
          <w:rFonts w:ascii="Times New Roman" w:hAnsi="Times New Roman" w:cs="Times New Roman"/>
          <w:sz w:val="24"/>
          <w:szCs w:val="24"/>
        </w:rPr>
        <w:t>.</w:t>
      </w:r>
    </w:p>
    <w:p w:rsidR="003074A6" w:rsidRDefault="00D10FE7" w:rsidP="008A71CD">
      <w:pPr>
        <w:rPr>
          <w:rFonts w:ascii="Times New Roman" w:hAnsi="Times New Roman" w:cs="Times New Roman"/>
          <w:sz w:val="24"/>
          <w:szCs w:val="24"/>
        </w:rPr>
      </w:pPr>
      <w:r>
        <w:rPr>
          <w:rFonts w:ascii="Times New Roman" w:hAnsi="Times New Roman" w:cs="Times New Roman"/>
          <w:sz w:val="24"/>
          <w:szCs w:val="24"/>
        </w:rPr>
        <w:lastRenderedPageBreak/>
        <w:t xml:space="preserve">En su aspecto </w:t>
      </w:r>
      <w:r w:rsidR="003074A6">
        <w:rPr>
          <w:rFonts w:ascii="Times New Roman" w:hAnsi="Times New Roman" w:cs="Times New Roman"/>
          <w:sz w:val="24"/>
          <w:szCs w:val="24"/>
        </w:rPr>
        <w:t xml:space="preserve">positivo, </w:t>
      </w:r>
      <w:r>
        <w:rPr>
          <w:rFonts w:ascii="Times New Roman" w:hAnsi="Times New Roman" w:cs="Times New Roman"/>
          <w:sz w:val="24"/>
          <w:szCs w:val="24"/>
        </w:rPr>
        <w:t xml:space="preserve"> es decir, en la necesidad de clasificarlo con tal carácter es en el que me quiero detener, por cuanto que aquí confluye el principio jurisprudencial denominado </w:t>
      </w:r>
      <w:r w:rsidR="003074A6" w:rsidRPr="003074A6">
        <w:rPr>
          <w:rFonts w:ascii="Times New Roman" w:hAnsi="Times New Roman" w:cs="Times New Roman"/>
          <w:i/>
          <w:sz w:val="24"/>
          <w:szCs w:val="24"/>
        </w:rPr>
        <w:t>“la fuerza normativa de lo fáctico”</w:t>
      </w:r>
      <w:r w:rsidR="00F85366">
        <w:rPr>
          <w:rFonts w:ascii="Times New Roman" w:hAnsi="Times New Roman" w:cs="Times New Roman"/>
          <w:sz w:val="24"/>
          <w:szCs w:val="24"/>
        </w:rPr>
        <w:t xml:space="preserve"> o </w:t>
      </w:r>
      <w:r w:rsidR="00F85366" w:rsidRPr="00F85366">
        <w:rPr>
          <w:rFonts w:ascii="Times New Roman" w:hAnsi="Times New Roman" w:cs="Times New Roman"/>
          <w:i/>
          <w:sz w:val="24"/>
          <w:szCs w:val="24"/>
        </w:rPr>
        <w:t>“prevalente realidad de los hechos”</w:t>
      </w:r>
      <w:r w:rsidR="00F85366">
        <w:rPr>
          <w:rFonts w:ascii="Times New Roman" w:hAnsi="Times New Roman" w:cs="Times New Roman"/>
          <w:sz w:val="24"/>
          <w:szCs w:val="24"/>
        </w:rPr>
        <w:t xml:space="preserve"> </w:t>
      </w:r>
      <w:r w:rsidR="003074A6" w:rsidRPr="003074A6">
        <w:rPr>
          <w:rFonts w:ascii="Times New Roman" w:hAnsi="Times New Roman" w:cs="Times New Roman"/>
          <w:sz w:val="24"/>
          <w:szCs w:val="24"/>
        </w:rPr>
        <w:t>a cuyo socaire el suelo urbano debe ser definido en función de la realidad de los hechos, consecuentemente, su definición constituye un límite a la potestad de planeamiento.</w:t>
      </w:r>
    </w:p>
    <w:p w:rsidR="003074A6" w:rsidRDefault="008A71CD" w:rsidP="008A71CD">
      <w:pPr>
        <w:rPr>
          <w:rFonts w:ascii="Times New Roman" w:hAnsi="Times New Roman" w:cs="Times New Roman"/>
          <w:sz w:val="24"/>
          <w:szCs w:val="24"/>
        </w:rPr>
      </w:pPr>
      <w:r w:rsidRPr="008A71CD">
        <w:rPr>
          <w:rFonts w:ascii="Times New Roman" w:hAnsi="Times New Roman" w:cs="Times New Roman"/>
          <w:sz w:val="24"/>
          <w:szCs w:val="24"/>
        </w:rPr>
        <w:t xml:space="preserve">Así pues, por imperativo legal la clasificación de un terreno depende del hecho físico de la urbanización o consolidación de lo </w:t>
      </w:r>
      <w:r w:rsidR="00FE2BEF" w:rsidRPr="008A71CD">
        <w:rPr>
          <w:rFonts w:ascii="Times New Roman" w:hAnsi="Times New Roman" w:cs="Times New Roman"/>
          <w:sz w:val="24"/>
          <w:szCs w:val="24"/>
        </w:rPr>
        <w:t>edifica</w:t>
      </w:r>
      <w:r w:rsidR="00FE2BEF">
        <w:rPr>
          <w:rFonts w:ascii="Times New Roman" w:hAnsi="Times New Roman" w:cs="Times New Roman"/>
          <w:sz w:val="24"/>
          <w:szCs w:val="24"/>
        </w:rPr>
        <w:t>ción</w:t>
      </w:r>
      <w:r w:rsidRPr="008A71CD">
        <w:rPr>
          <w:rFonts w:ascii="Times New Roman" w:hAnsi="Times New Roman" w:cs="Times New Roman"/>
          <w:sz w:val="24"/>
          <w:szCs w:val="24"/>
        </w:rPr>
        <w:t>, de suerte que la Administración queda vinculada por una realidad que ha de reflejar en sus determinaciones clasificatorias. Sobre esta base, de no ajustarse a estos parámetros entrañaría desconocer circunstancias fácticas que pueden, por tanto, determinar la nulidad de ese aspecto del plan. En este sentido, entre otras muchas, SSTS de 27 de noviembre de 2003 (RJ 2003/807 4), 20 de julio de 2010 (RJ 2010/6517), 1 de febrero de 2011 (RJ 2011, 511), 8 de noviembre de 2011 (RJ 2012/1081), 9 diciembre 2015 (RJ 2016/47)</w:t>
      </w:r>
      <w:r w:rsidR="00A81A51">
        <w:rPr>
          <w:rFonts w:ascii="Times New Roman" w:hAnsi="Times New Roman" w:cs="Times New Roman"/>
          <w:sz w:val="24"/>
          <w:szCs w:val="24"/>
        </w:rPr>
        <w:t xml:space="preserve">, o la STS, Sala 3ª, Sección 5, de 20/11/2000 </w:t>
      </w:r>
      <w:r w:rsidRPr="008A71CD">
        <w:rPr>
          <w:rFonts w:ascii="Times New Roman" w:hAnsi="Times New Roman" w:cs="Times New Roman"/>
          <w:sz w:val="24"/>
          <w:szCs w:val="24"/>
        </w:rPr>
        <w:t xml:space="preserve"> </w:t>
      </w:r>
      <w:proofErr w:type="spellStart"/>
      <w:r w:rsidR="00A81A51">
        <w:rPr>
          <w:rFonts w:ascii="Times New Roman" w:hAnsi="Times New Roman" w:cs="Times New Roman"/>
          <w:sz w:val="24"/>
          <w:szCs w:val="24"/>
        </w:rPr>
        <w:t>rec</w:t>
      </w:r>
      <w:proofErr w:type="spellEnd"/>
      <w:r w:rsidR="00A81A51">
        <w:rPr>
          <w:rFonts w:ascii="Times New Roman" w:hAnsi="Times New Roman" w:cs="Times New Roman"/>
          <w:sz w:val="24"/>
          <w:szCs w:val="24"/>
        </w:rPr>
        <w:t xml:space="preserve"> 7648/1995 en la que se declara la corrección de una licencia urbanística en un suelo indebidamente excluido del perímetro definido por un Proyecto de Delimitación de suelo urbano.</w:t>
      </w:r>
    </w:p>
    <w:p w:rsidR="008A71CD" w:rsidRPr="008A71CD" w:rsidRDefault="008A71CD" w:rsidP="008A71CD">
      <w:pPr>
        <w:rPr>
          <w:rFonts w:ascii="Times New Roman" w:hAnsi="Times New Roman" w:cs="Times New Roman"/>
          <w:sz w:val="24"/>
          <w:szCs w:val="24"/>
        </w:rPr>
      </w:pPr>
      <w:r w:rsidRPr="008A71CD">
        <w:rPr>
          <w:rFonts w:ascii="Times New Roman" w:hAnsi="Times New Roman" w:cs="Times New Roman"/>
          <w:sz w:val="24"/>
          <w:szCs w:val="24"/>
        </w:rPr>
        <w:t xml:space="preserve">A los anteriores elementos, la jurisprudencia </w:t>
      </w:r>
      <w:r w:rsidR="00A81A51">
        <w:rPr>
          <w:rFonts w:ascii="Times New Roman" w:hAnsi="Times New Roman" w:cs="Times New Roman"/>
          <w:sz w:val="24"/>
          <w:szCs w:val="24"/>
        </w:rPr>
        <w:t xml:space="preserve">contenida en las Sentencias anteriores y otras muchas han </w:t>
      </w:r>
      <w:r w:rsidRPr="008A71CD">
        <w:rPr>
          <w:rFonts w:ascii="Times New Roman" w:hAnsi="Times New Roman" w:cs="Times New Roman"/>
          <w:sz w:val="24"/>
          <w:szCs w:val="24"/>
        </w:rPr>
        <w:t>adicio</w:t>
      </w:r>
      <w:r w:rsidR="00A81A51">
        <w:rPr>
          <w:rFonts w:ascii="Times New Roman" w:hAnsi="Times New Roman" w:cs="Times New Roman"/>
          <w:sz w:val="24"/>
          <w:szCs w:val="24"/>
        </w:rPr>
        <w:t xml:space="preserve">nado </w:t>
      </w:r>
      <w:r w:rsidRPr="008A71CD">
        <w:rPr>
          <w:rFonts w:ascii="Times New Roman" w:hAnsi="Times New Roman" w:cs="Times New Roman"/>
          <w:sz w:val="24"/>
          <w:szCs w:val="24"/>
        </w:rPr>
        <w:t>otro</w:t>
      </w:r>
      <w:r w:rsidR="00A81A51">
        <w:rPr>
          <w:rFonts w:ascii="Times New Roman" w:hAnsi="Times New Roman" w:cs="Times New Roman"/>
          <w:sz w:val="24"/>
          <w:szCs w:val="24"/>
        </w:rPr>
        <w:t>s</w:t>
      </w:r>
      <w:r w:rsidRPr="008A71CD">
        <w:rPr>
          <w:rFonts w:ascii="Times New Roman" w:hAnsi="Times New Roman" w:cs="Times New Roman"/>
          <w:sz w:val="24"/>
          <w:szCs w:val="24"/>
        </w:rPr>
        <w:t xml:space="preserve"> requisito</w:t>
      </w:r>
      <w:r w:rsidR="00A81A51">
        <w:rPr>
          <w:rFonts w:ascii="Times New Roman" w:hAnsi="Times New Roman" w:cs="Times New Roman"/>
          <w:sz w:val="24"/>
          <w:szCs w:val="24"/>
        </w:rPr>
        <w:t>s, algunos de los cuales han sido ya recogidos en el TRLS/2015, co</w:t>
      </w:r>
      <w:r w:rsidR="00C93BDE">
        <w:rPr>
          <w:rFonts w:ascii="Times New Roman" w:hAnsi="Times New Roman" w:cs="Times New Roman"/>
          <w:sz w:val="24"/>
          <w:szCs w:val="24"/>
        </w:rPr>
        <w:t>mo</w:t>
      </w:r>
      <w:r w:rsidR="00A81A51">
        <w:rPr>
          <w:rFonts w:ascii="Times New Roman" w:hAnsi="Times New Roman" w:cs="Times New Roman"/>
          <w:sz w:val="24"/>
          <w:szCs w:val="24"/>
        </w:rPr>
        <w:t xml:space="preserve"> el de la </w:t>
      </w:r>
      <w:r w:rsidRPr="008A71CD">
        <w:rPr>
          <w:rFonts w:ascii="Times New Roman" w:hAnsi="Times New Roman" w:cs="Times New Roman"/>
          <w:sz w:val="24"/>
          <w:szCs w:val="24"/>
        </w:rPr>
        <w:t xml:space="preserve">necesaria integración en la “malla o trama urbana” de la ciudad a fin de evitar el crecimiento incontrolado del suelo </w:t>
      </w:r>
      <w:proofErr w:type="gramStart"/>
      <w:r w:rsidRPr="008A71CD">
        <w:rPr>
          <w:rFonts w:ascii="Times New Roman" w:hAnsi="Times New Roman" w:cs="Times New Roman"/>
          <w:sz w:val="24"/>
          <w:szCs w:val="24"/>
        </w:rPr>
        <w:t>urbano .</w:t>
      </w:r>
      <w:proofErr w:type="gramEnd"/>
      <w:r w:rsidRPr="008A71CD">
        <w:rPr>
          <w:rFonts w:ascii="Times New Roman" w:hAnsi="Times New Roman" w:cs="Times New Roman"/>
          <w:sz w:val="24"/>
          <w:szCs w:val="24"/>
        </w:rPr>
        <w:t xml:space="preserve"> Lo expone con </w:t>
      </w:r>
      <w:r w:rsidR="00FE2BEF">
        <w:rPr>
          <w:rFonts w:ascii="Times New Roman" w:hAnsi="Times New Roman" w:cs="Times New Roman"/>
          <w:sz w:val="24"/>
          <w:szCs w:val="24"/>
        </w:rPr>
        <w:t>claridad</w:t>
      </w:r>
      <w:r w:rsidRPr="008A71CD">
        <w:rPr>
          <w:rFonts w:ascii="Times New Roman" w:hAnsi="Times New Roman" w:cs="Times New Roman"/>
          <w:sz w:val="24"/>
          <w:szCs w:val="24"/>
        </w:rPr>
        <w:t xml:space="preserve"> la STS de 17 de julio de 2007 (2007/4784) en términos expresivos: </w:t>
      </w:r>
    </w:p>
    <w:p w:rsidR="003C4C16" w:rsidRPr="003074A6" w:rsidRDefault="008A71CD" w:rsidP="008A71CD">
      <w:pPr>
        <w:rPr>
          <w:rFonts w:ascii="Times New Roman" w:hAnsi="Times New Roman" w:cs="Times New Roman"/>
          <w:i/>
          <w:sz w:val="24"/>
          <w:szCs w:val="24"/>
        </w:rPr>
      </w:pPr>
      <w:r w:rsidRPr="003074A6">
        <w:rPr>
          <w:rFonts w:ascii="Times New Roman" w:hAnsi="Times New Roman" w:cs="Times New Roman"/>
          <w:i/>
          <w:sz w:val="24"/>
          <w:szCs w:val="24"/>
        </w:rPr>
        <w:t xml:space="preserve"> “La jurisprudencia de este Tribunal Supremo ha insistido en la idea de que el suelo urbano sólo llega hasta donde lo hagan los servicios urbanísticos que se han realizado para la atención de una zona urbanizada, y ni un metro más allá [(así, en sentencias de 1 de junio de 2000 (RJ 2000/4375) o 14 de diciembre de 2001 (RJ 2001/1796)]; también, en la de que el suelo urbano no puede expandirse necesariamente como si fuera una mancha de aceite mediante el simple juego de la colindancia de los terrenos con zonas urbanizadas [(así, en la última de las citadas o en la de 12 de noviembre de 1999 (RJ 1999/8490)]; o, en fin, en la de que </w:t>
      </w:r>
      <w:r w:rsidRPr="00FE2BEF">
        <w:rPr>
          <w:rFonts w:ascii="Times New Roman" w:hAnsi="Times New Roman" w:cs="Times New Roman"/>
          <w:i/>
          <w:sz w:val="24"/>
          <w:szCs w:val="24"/>
          <w:u w:val="single"/>
        </w:rPr>
        <w:t xml:space="preserve">la mera existencia en una parcela de los servicios urbanísticos exigidos no es suficiente para su clasificación como suelo urbano si la misma no se halla enclavada en la malla urbana </w:t>
      </w:r>
      <w:r w:rsidRPr="003074A6">
        <w:rPr>
          <w:rFonts w:ascii="Times New Roman" w:hAnsi="Times New Roman" w:cs="Times New Roman"/>
          <w:i/>
          <w:sz w:val="24"/>
          <w:szCs w:val="24"/>
        </w:rPr>
        <w:t>[(sentencias, entre otras muchas, de 3 de febrero y 15 de noviembre de 2003 (RJ 2003/8159)]; se trata así -añaden estas sentencias- de evitar el crecimiento del suelo urbano por la sola circunstancia de su proximidad al que ya lo es, pero con exoneración a los propietarios de las cargas que impone el proceso de transformación de los suelos urbanizables”.</w:t>
      </w:r>
    </w:p>
    <w:p w:rsidR="00A81A51" w:rsidRPr="007B3A32" w:rsidRDefault="00F85366" w:rsidP="007B3A32">
      <w:pPr>
        <w:spacing w:line="240" w:lineRule="auto"/>
        <w:rPr>
          <w:rFonts w:ascii="Times New Roman" w:hAnsi="Times New Roman" w:cs="Times New Roman"/>
          <w:i/>
          <w:sz w:val="24"/>
          <w:szCs w:val="24"/>
        </w:rPr>
      </w:pPr>
      <w:r>
        <w:rPr>
          <w:rFonts w:ascii="Times New Roman" w:hAnsi="Times New Roman" w:cs="Times New Roman"/>
          <w:sz w:val="24"/>
          <w:szCs w:val="24"/>
        </w:rPr>
        <w:t xml:space="preserve">Y otros dos requisitos </w:t>
      </w:r>
      <w:r w:rsidR="00A81A51">
        <w:rPr>
          <w:rFonts w:ascii="Times New Roman" w:hAnsi="Times New Roman" w:cs="Times New Roman"/>
          <w:sz w:val="24"/>
          <w:szCs w:val="24"/>
        </w:rPr>
        <w:t xml:space="preserve">incorporados por la Jurisprudencia uno de ellos </w:t>
      </w:r>
      <w:r>
        <w:rPr>
          <w:rFonts w:ascii="Times New Roman" w:hAnsi="Times New Roman" w:cs="Times New Roman"/>
          <w:sz w:val="24"/>
          <w:szCs w:val="24"/>
        </w:rPr>
        <w:t xml:space="preserve">ya recogido en el </w:t>
      </w:r>
      <w:r w:rsidR="00A81A51">
        <w:rPr>
          <w:rFonts w:ascii="Times New Roman" w:hAnsi="Times New Roman" w:cs="Times New Roman"/>
          <w:sz w:val="24"/>
          <w:szCs w:val="24"/>
        </w:rPr>
        <w:t>T</w:t>
      </w:r>
      <w:r>
        <w:rPr>
          <w:rFonts w:ascii="Times New Roman" w:hAnsi="Times New Roman" w:cs="Times New Roman"/>
          <w:sz w:val="24"/>
          <w:szCs w:val="24"/>
        </w:rPr>
        <w:t xml:space="preserve">exto </w:t>
      </w:r>
      <w:r w:rsidR="00A81A51">
        <w:rPr>
          <w:rFonts w:ascii="Times New Roman" w:hAnsi="Times New Roman" w:cs="Times New Roman"/>
          <w:sz w:val="24"/>
          <w:szCs w:val="24"/>
        </w:rPr>
        <w:t>R</w:t>
      </w:r>
      <w:r>
        <w:rPr>
          <w:rFonts w:ascii="Times New Roman" w:hAnsi="Times New Roman" w:cs="Times New Roman"/>
          <w:sz w:val="24"/>
          <w:szCs w:val="24"/>
        </w:rPr>
        <w:t xml:space="preserve">efundido del año 2015 de una manera clarísima, </w:t>
      </w:r>
      <w:r w:rsidRPr="000160C9">
        <w:rPr>
          <w:rFonts w:ascii="Times New Roman" w:hAnsi="Times New Roman" w:cs="Times New Roman"/>
          <w:sz w:val="24"/>
          <w:szCs w:val="24"/>
          <w:u w:val="single"/>
        </w:rPr>
        <w:t>“</w:t>
      </w:r>
      <w:r w:rsidRPr="000160C9">
        <w:rPr>
          <w:rFonts w:ascii="Times New Roman" w:hAnsi="Times New Roman" w:cs="Times New Roman"/>
          <w:i/>
          <w:sz w:val="24"/>
          <w:szCs w:val="24"/>
          <w:u w:val="single"/>
        </w:rPr>
        <w:t>el que legalmente se encuentra integrado</w:t>
      </w:r>
      <w:proofErr w:type="gramStart"/>
      <w:r w:rsidR="00A81A51">
        <w:rPr>
          <w:rFonts w:ascii="Times New Roman" w:hAnsi="Times New Roman" w:cs="Times New Roman"/>
          <w:i/>
          <w:sz w:val="24"/>
          <w:szCs w:val="24"/>
        </w:rPr>
        <w:t>..”</w:t>
      </w:r>
      <w:proofErr w:type="gramEnd"/>
      <w:r w:rsidRPr="00A81A51">
        <w:rPr>
          <w:rFonts w:ascii="Times New Roman" w:hAnsi="Times New Roman" w:cs="Times New Roman"/>
          <w:i/>
          <w:sz w:val="24"/>
          <w:szCs w:val="24"/>
        </w:rPr>
        <w:t xml:space="preserve"> </w:t>
      </w:r>
      <w:r w:rsidR="00A81A51">
        <w:rPr>
          <w:rFonts w:ascii="Times New Roman" w:hAnsi="Times New Roman" w:cs="Times New Roman"/>
          <w:sz w:val="24"/>
          <w:szCs w:val="24"/>
        </w:rPr>
        <w:t xml:space="preserve">es decir, la fuerza normativa de lo fáctico vinculará al planificador en desarrollos urbanísticos legales, no cuando las actuaciones edificatorias o urbanizadoras se hayan llevado a cabo al margen de la legalidad. </w:t>
      </w:r>
      <w:r w:rsidR="007B3A32" w:rsidRPr="007B3A32">
        <w:rPr>
          <w:rFonts w:ascii="Times New Roman" w:hAnsi="Times New Roman" w:cs="Times New Roman"/>
          <w:sz w:val="24"/>
          <w:szCs w:val="24"/>
        </w:rPr>
        <w:t xml:space="preserve">STS de 2 de octubre de 2013 (RC 3970/2010) </w:t>
      </w:r>
      <w:r w:rsidR="007B3A32" w:rsidRPr="007B3A32">
        <w:rPr>
          <w:rFonts w:ascii="Times New Roman" w:hAnsi="Times New Roman" w:cs="Times New Roman"/>
          <w:i/>
          <w:sz w:val="24"/>
          <w:szCs w:val="24"/>
        </w:rPr>
        <w:t>“Quizá resulte aconsejable</w:t>
      </w:r>
      <w:r w:rsidR="007B3A32">
        <w:rPr>
          <w:rFonts w:ascii="Times New Roman" w:hAnsi="Times New Roman" w:cs="Times New Roman"/>
          <w:i/>
          <w:sz w:val="24"/>
          <w:szCs w:val="24"/>
        </w:rPr>
        <w:t xml:space="preserve"> </w:t>
      </w:r>
      <w:r w:rsidR="007B3A32" w:rsidRPr="007B3A32">
        <w:rPr>
          <w:rFonts w:ascii="Times New Roman" w:hAnsi="Times New Roman" w:cs="Times New Roman"/>
          <w:i/>
          <w:sz w:val="24"/>
          <w:szCs w:val="24"/>
        </w:rPr>
        <w:t>recordar también que, aun en el caso de existencia de los servicios</w:t>
      </w:r>
      <w:r w:rsidR="007B3A32">
        <w:rPr>
          <w:rFonts w:ascii="Times New Roman" w:hAnsi="Times New Roman" w:cs="Times New Roman"/>
          <w:i/>
          <w:sz w:val="24"/>
          <w:szCs w:val="24"/>
        </w:rPr>
        <w:t xml:space="preserve"> </w:t>
      </w:r>
      <w:r w:rsidR="007B3A32" w:rsidRPr="007B3A32">
        <w:rPr>
          <w:rFonts w:ascii="Times New Roman" w:hAnsi="Times New Roman" w:cs="Times New Roman"/>
          <w:i/>
          <w:sz w:val="24"/>
          <w:szCs w:val="24"/>
        </w:rPr>
        <w:t xml:space="preserve">urbanísticos que denotan la pertenencia al urbano, </w:t>
      </w:r>
      <w:r w:rsidR="007B3A32" w:rsidRPr="00F85B8C">
        <w:rPr>
          <w:rFonts w:ascii="Times New Roman" w:hAnsi="Times New Roman" w:cs="Times New Roman"/>
          <w:i/>
          <w:sz w:val="24"/>
          <w:szCs w:val="24"/>
          <w:u w:val="single"/>
        </w:rPr>
        <w:t>cuando éstos proceden de ejecuciones irregulares</w:t>
      </w:r>
      <w:r w:rsidR="007B3A32" w:rsidRPr="007B3A32">
        <w:rPr>
          <w:rFonts w:ascii="Times New Roman" w:hAnsi="Times New Roman" w:cs="Times New Roman"/>
          <w:i/>
          <w:sz w:val="24"/>
          <w:szCs w:val="24"/>
        </w:rPr>
        <w:t>, esto es, al margen del planeamiento</w:t>
      </w:r>
      <w:r w:rsidR="007B3A32" w:rsidRPr="00F85B8C">
        <w:rPr>
          <w:rFonts w:ascii="Times New Roman" w:hAnsi="Times New Roman" w:cs="Times New Roman"/>
          <w:i/>
          <w:sz w:val="24"/>
          <w:szCs w:val="24"/>
          <w:u w:val="single"/>
        </w:rPr>
        <w:t>, no se impone su clasificación como urbanos</w:t>
      </w:r>
      <w:r w:rsidR="007B3A32" w:rsidRPr="007B3A32">
        <w:rPr>
          <w:rFonts w:ascii="Times New Roman" w:hAnsi="Times New Roman" w:cs="Times New Roman"/>
          <w:i/>
          <w:sz w:val="24"/>
          <w:szCs w:val="24"/>
        </w:rPr>
        <w:t xml:space="preserve">, ya que se llegaría al </w:t>
      </w:r>
      <w:proofErr w:type="gramStart"/>
      <w:r w:rsidR="007B3A32" w:rsidRPr="007B3A32">
        <w:rPr>
          <w:rFonts w:ascii="Times New Roman" w:hAnsi="Times New Roman" w:cs="Times New Roman"/>
          <w:i/>
          <w:sz w:val="24"/>
          <w:szCs w:val="24"/>
        </w:rPr>
        <w:t>resultado</w:t>
      </w:r>
      <w:r w:rsidR="007B3A32">
        <w:rPr>
          <w:rFonts w:ascii="Times New Roman" w:hAnsi="Times New Roman" w:cs="Times New Roman"/>
          <w:i/>
          <w:sz w:val="24"/>
          <w:szCs w:val="24"/>
        </w:rPr>
        <w:t xml:space="preserve"> </w:t>
      </w:r>
      <w:r w:rsidR="007B3A32" w:rsidRPr="007B3A32">
        <w:rPr>
          <w:rFonts w:ascii="Times New Roman" w:hAnsi="Times New Roman" w:cs="Times New Roman"/>
          <w:i/>
          <w:sz w:val="24"/>
          <w:szCs w:val="24"/>
        </w:rPr>
        <w:lastRenderedPageBreak/>
        <w:t>,jurídicamente</w:t>
      </w:r>
      <w:proofErr w:type="gramEnd"/>
      <w:r w:rsidR="007B3A32" w:rsidRPr="007B3A32">
        <w:rPr>
          <w:rFonts w:ascii="Times New Roman" w:hAnsi="Times New Roman" w:cs="Times New Roman"/>
          <w:i/>
          <w:sz w:val="24"/>
          <w:szCs w:val="24"/>
        </w:rPr>
        <w:t xml:space="preserve"> inadmisible, de que las ilegalidades urbanísticas se</w:t>
      </w:r>
      <w:r w:rsidR="007B3A32">
        <w:rPr>
          <w:rFonts w:ascii="Times New Roman" w:hAnsi="Times New Roman" w:cs="Times New Roman"/>
          <w:i/>
          <w:sz w:val="24"/>
          <w:szCs w:val="24"/>
        </w:rPr>
        <w:t xml:space="preserve"> </w:t>
      </w:r>
      <w:r w:rsidR="007B3A32" w:rsidRPr="007B3A32">
        <w:rPr>
          <w:rFonts w:ascii="Times New Roman" w:hAnsi="Times New Roman" w:cs="Times New Roman"/>
          <w:i/>
          <w:sz w:val="24"/>
          <w:szCs w:val="24"/>
        </w:rPr>
        <w:t>impondrían por la fuerza de los hechos”.</w:t>
      </w:r>
    </w:p>
    <w:p w:rsidR="003C4C16" w:rsidRPr="003C4C16" w:rsidRDefault="00A81A51" w:rsidP="003C4C16">
      <w:pPr>
        <w:rPr>
          <w:rFonts w:ascii="Times New Roman" w:hAnsi="Times New Roman" w:cs="Times New Roman"/>
          <w:sz w:val="24"/>
          <w:szCs w:val="24"/>
        </w:rPr>
      </w:pPr>
      <w:r>
        <w:rPr>
          <w:rFonts w:ascii="Times New Roman" w:hAnsi="Times New Roman" w:cs="Times New Roman"/>
          <w:sz w:val="24"/>
          <w:szCs w:val="24"/>
        </w:rPr>
        <w:t xml:space="preserve">Y un último requisito no recogido en el Texto </w:t>
      </w:r>
      <w:r w:rsidR="002F2367">
        <w:rPr>
          <w:rFonts w:ascii="Times New Roman" w:hAnsi="Times New Roman" w:cs="Times New Roman"/>
          <w:sz w:val="24"/>
          <w:szCs w:val="24"/>
        </w:rPr>
        <w:t>E</w:t>
      </w:r>
      <w:r>
        <w:rPr>
          <w:rFonts w:ascii="Times New Roman" w:hAnsi="Times New Roman" w:cs="Times New Roman"/>
          <w:sz w:val="24"/>
          <w:szCs w:val="24"/>
        </w:rPr>
        <w:t xml:space="preserve">statal del año 2015 pero que se infiere </w:t>
      </w:r>
      <w:r w:rsidR="002F2367">
        <w:rPr>
          <w:rFonts w:ascii="Times New Roman" w:hAnsi="Times New Roman" w:cs="Times New Roman"/>
          <w:sz w:val="24"/>
          <w:szCs w:val="24"/>
        </w:rPr>
        <w:t xml:space="preserve">de la exclusión del criterio de la colindancia para considerar un suelo como urbanizado, hablamos del requisito incorporado por la Jurisprudencia del Tribunal Supremo de que </w:t>
      </w:r>
      <w:r w:rsidR="00F85366">
        <w:rPr>
          <w:rFonts w:ascii="Times New Roman" w:hAnsi="Times New Roman" w:cs="Times New Roman"/>
          <w:sz w:val="24"/>
          <w:szCs w:val="24"/>
        </w:rPr>
        <w:t xml:space="preserve">los servicios con los que cuentan </w:t>
      </w:r>
      <w:r w:rsidR="00F85366" w:rsidRPr="000160C9">
        <w:rPr>
          <w:rFonts w:ascii="Times New Roman" w:hAnsi="Times New Roman" w:cs="Times New Roman"/>
          <w:sz w:val="24"/>
          <w:szCs w:val="24"/>
          <w:u w:val="single"/>
        </w:rPr>
        <w:t>resulten de dimensiones adecuadas para las edificaciones y us</w:t>
      </w:r>
      <w:r w:rsidR="002F2367" w:rsidRPr="000160C9">
        <w:rPr>
          <w:rFonts w:ascii="Times New Roman" w:hAnsi="Times New Roman" w:cs="Times New Roman"/>
          <w:sz w:val="24"/>
          <w:szCs w:val="24"/>
          <w:u w:val="single"/>
        </w:rPr>
        <w:t>os previstos</w:t>
      </w:r>
      <w:r w:rsidR="002F2367">
        <w:rPr>
          <w:rFonts w:ascii="Times New Roman" w:hAnsi="Times New Roman" w:cs="Times New Roman"/>
          <w:sz w:val="24"/>
          <w:szCs w:val="24"/>
        </w:rPr>
        <w:t xml:space="preserve"> en el planeamiento (art.21.3.b TRLS/2015)</w:t>
      </w:r>
    </w:p>
    <w:p w:rsidR="000160C9" w:rsidRDefault="000160C9" w:rsidP="003C4C16">
      <w:pPr>
        <w:rPr>
          <w:rFonts w:ascii="Times New Roman" w:hAnsi="Times New Roman" w:cs="Times New Roman"/>
          <w:sz w:val="24"/>
          <w:szCs w:val="24"/>
        </w:rPr>
      </w:pPr>
    </w:p>
    <w:p w:rsidR="002F2367" w:rsidRDefault="002F2367" w:rsidP="003C4C16">
      <w:pPr>
        <w:rPr>
          <w:rFonts w:ascii="Times New Roman" w:hAnsi="Times New Roman" w:cs="Times New Roman"/>
          <w:sz w:val="24"/>
          <w:szCs w:val="24"/>
        </w:rPr>
      </w:pPr>
      <w:r>
        <w:rPr>
          <w:rFonts w:ascii="Times New Roman" w:hAnsi="Times New Roman" w:cs="Times New Roman"/>
          <w:sz w:val="24"/>
          <w:szCs w:val="24"/>
        </w:rPr>
        <w:t>Pero… ¿hasta dónde llega la obligación del planificador en el suelo urbano? ¿</w:t>
      </w:r>
      <w:r w:rsidR="00361BD0">
        <w:rPr>
          <w:rFonts w:ascii="Times New Roman" w:hAnsi="Times New Roman" w:cs="Times New Roman"/>
          <w:sz w:val="24"/>
          <w:szCs w:val="24"/>
        </w:rPr>
        <w:t>Hasta</w:t>
      </w:r>
      <w:r>
        <w:rPr>
          <w:rFonts w:ascii="Times New Roman" w:hAnsi="Times New Roman" w:cs="Times New Roman"/>
          <w:sz w:val="24"/>
          <w:szCs w:val="24"/>
        </w:rPr>
        <w:t xml:space="preserve"> qué categorización de suelo puede verse compelido el planificador urbanístico</w:t>
      </w:r>
      <w:r w:rsidR="000F763A" w:rsidRPr="003C4C16">
        <w:rPr>
          <w:rFonts w:ascii="Times New Roman" w:hAnsi="Times New Roman" w:cs="Times New Roman"/>
          <w:sz w:val="24"/>
          <w:szCs w:val="24"/>
        </w:rPr>
        <w:t xml:space="preserve"> </w:t>
      </w:r>
      <w:r>
        <w:rPr>
          <w:rFonts w:ascii="Times New Roman" w:hAnsi="Times New Roman" w:cs="Times New Roman"/>
          <w:sz w:val="24"/>
          <w:szCs w:val="24"/>
        </w:rPr>
        <w:t xml:space="preserve">por la fuerza normativa de lo fáctico? Sobra recordar que el uso urbano con la categoría de consolidado tiene ya la condición de solar </w:t>
      </w:r>
      <w:r w:rsidR="000160C9">
        <w:rPr>
          <w:rFonts w:ascii="Times New Roman" w:hAnsi="Times New Roman" w:cs="Times New Roman"/>
          <w:sz w:val="24"/>
          <w:szCs w:val="24"/>
        </w:rPr>
        <w:t>(o está necesitado de pequeñas obras accesorias y de escasa entidad que pueden simultanearse con la edi</w:t>
      </w:r>
      <w:r w:rsidR="00361BD0">
        <w:rPr>
          <w:rFonts w:ascii="Times New Roman" w:hAnsi="Times New Roman" w:cs="Times New Roman"/>
          <w:sz w:val="24"/>
          <w:szCs w:val="24"/>
        </w:rPr>
        <w:t xml:space="preserve">ficación, según prevé el art. 17.a) de la Ley 2/2016, de suelo de Galicia) y se </w:t>
      </w:r>
      <w:r>
        <w:rPr>
          <w:rFonts w:ascii="Times New Roman" w:hAnsi="Times New Roman" w:cs="Times New Roman"/>
          <w:sz w:val="24"/>
          <w:szCs w:val="24"/>
        </w:rPr>
        <w:t xml:space="preserve">encuentra por tanto exento de </w:t>
      </w:r>
      <w:r w:rsidR="00361BD0">
        <w:rPr>
          <w:rFonts w:ascii="Times New Roman" w:hAnsi="Times New Roman" w:cs="Times New Roman"/>
          <w:sz w:val="24"/>
          <w:szCs w:val="24"/>
        </w:rPr>
        <w:t xml:space="preserve">las </w:t>
      </w:r>
      <w:r>
        <w:rPr>
          <w:rFonts w:ascii="Times New Roman" w:hAnsi="Times New Roman" w:cs="Times New Roman"/>
          <w:sz w:val="24"/>
          <w:szCs w:val="24"/>
        </w:rPr>
        <w:t xml:space="preserve">cargas urbanísticas que </w:t>
      </w:r>
      <w:r w:rsidR="00361BD0">
        <w:rPr>
          <w:rFonts w:ascii="Times New Roman" w:hAnsi="Times New Roman" w:cs="Times New Roman"/>
          <w:sz w:val="24"/>
          <w:szCs w:val="24"/>
        </w:rPr>
        <w:t>dicha Ley prevé en su art. 21, para el suelo urbano no consolidado.</w:t>
      </w:r>
    </w:p>
    <w:p w:rsidR="008F5D45" w:rsidRDefault="002F2367" w:rsidP="008F5D45">
      <w:pPr>
        <w:rPr>
          <w:rFonts w:ascii="Times New Roman" w:hAnsi="Times New Roman" w:cs="Times New Roman"/>
          <w:sz w:val="24"/>
          <w:szCs w:val="24"/>
        </w:rPr>
      </w:pPr>
      <w:r>
        <w:rPr>
          <w:rFonts w:ascii="Times New Roman" w:hAnsi="Times New Roman" w:cs="Times New Roman"/>
          <w:sz w:val="24"/>
          <w:szCs w:val="24"/>
        </w:rPr>
        <w:t xml:space="preserve">Por zanjar esta pregunta de una manera rápida vamos a trasladar esta misma pregunta al Tribunal Supremo, y vamos a citar la respuesta que por parte de dicho Tribunal se le da al Ayuntamiento de Marbella </w:t>
      </w:r>
      <w:r w:rsidR="008F5D45">
        <w:rPr>
          <w:rFonts w:ascii="Times New Roman" w:hAnsi="Times New Roman" w:cs="Times New Roman"/>
          <w:sz w:val="24"/>
          <w:szCs w:val="24"/>
        </w:rPr>
        <w:t>en los Au</w:t>
      </w:r>
      <w:r w:rsidR="008F5D45" w:rsidRPr="008F5D45">
        <w:rPr>
          <w:rFonts w:ascii="Times New Roman" w:hAnsi="Times New Roman" w:cs="Times New Roman"/>
          <w:sz w:val="24"/>
          <w:szCs w:val="24"/>
        </w:rPr>
        <w:t>tos de aclaración dictados en fecha 1 de Diciembre de 2015</w:t>
      </w:r>
      <w:r w:rsidR="008F5D45">
        <w:rPr>
          <w:rFonts w:ascii="Times New Roman" w:hAnsi="Times New Roman" w:cs="Times New Roman"/>
          <w:sz w:val="24"/>
          <w:szCs w:val="24"/>
        </w:rPr>
        <w:t xml:space="preserve">, tras el dictado de las tres Sentencias de fechas 27 y 28 de Octubre de 2015 en los que se declara la nulidad de su Planeamiento General.  </w:t>
      </w:r>
    </w:p>
    <w:p w:rsidR="008F5D45" w:rsidRPr="008F5D45" w:rsidRDefault="008F5D45" w:rsidP="008F5D45">
      <w:pPr>
        <w:rPr>
          <w:rFonts w:ascii="Times New Roman" w:hAnsi="Times New Roman" w:cs="Times New Roman"/>
          <w:i/>
          <w:sz w:val="24"/>
          <w:szCs w:val="24"/>
        </w:rPr>
      </w:pPr>
      <w:r w:rsidRPr="008F5D45">
        <w:rPr>
          <w:rFonts w:ascii="Times New Roman" w:hAnsi="Times New Roman" w:cs="Times New Roman"/>
          <w:i/>
          <w:sz w:val="24"/>
          <w:szCs w:val="24"/>
        </w:rPr>
        <w:t xml:space="preserve">“Segundo.- </w:t>
      </w:r>
      <w:r w:rsidRPr="008F5D45">
        <w:rPr>
          <w:rFonts w:ascii="Times New Roman" w:hAnsi="Times New Roman" w:cs="Times New Roman"/>
          <w:i/>
          <w:sz w:val="24"/>
          <w:szCs w:val="24"/>
        </w:rPr>
        <w:tab/>
        <w:t xml:space="preserve">Se considera confusa para el Ayuntamiento de Marbella la conclusión de si el concepto de suelo urbano consolidado es o no disponible para el planificador -como así se establecía en la Memoria del PGOU de Marbella- cuando la consolidación de los servicios urbanísticos que denotan la pertenencia al suelo urbano procede de actuaciones irregulares. </w:t>
      </w:r>
    </w:p>
    <w:p w:rsidR="008F5D45" w:rsidRDefault="008F5D45" w:rsidP="008F5D45">
      <w:pPr>
        <w:rPr>
          <w:rFonts w:ascii="Times New Roman" w:hAnsi="Times New Roman" w:cs="Times New Roman"/>
          <w:i/>
          <w:sz w:val="24"/>
          <w:szCs w:val="24"/>
        </w:rPr>
      </w:pPr>
      <w:r w:rsidRPr="008F5D45">
        <w:rPr>
          <w:rFonts w:ascii="Times New Roman" w:hAnsi="Times New Roman" w:cs="Times New Roman"/>
          <w:i/>
          <w:sz w:val="24"/>
          <w:szCs w:val="24"/>
        </w:rPr>
        <w:t>Respuesta: En relación con la segunda cuestión que se plantea, baste con señalar que la Jurisprudencia que se aporta lo es en relación con la clasificación del suelo urbano, no</w:t>
      </w:r>
      <w:r>
        <w:rPr>
          <w:rFonts w:ascii="Times New Roman" w:hAnsi="Times New Roman" w:cs="Times New Roman"/>
          <w:i/>
          <w:sz w:val="24"/>
          <w:szCs w:val="24"/>
        </w:rPr>
        <w:t xml:space="preserve"> con</w:t>
      </w:r>
      <w:r w:rsidRPr="008F5D45">
        <w:rPr>
          <w:rFonts w:ascii="Times New Roman" w:hAnsi="Times New Roman" w:cs="Times New Roman"/>
          <w:i/>
          <w:sz w:val="24"/>
          <w:szCs w:val="24"/>
        </w:rPr>
        <w:t xml:space="preserve"> la calificación o categorización del suelo urbano consolidado. </w:t>
      </w:r>
      <w:r>
        <w:rPr>
          <w:rFonts w:ascii="Times New Roman" w:hAnsi="Times New Roman" w:cs="Times New Roman"/>
          <w:i/>
          <w:sz w:val="24"/>
          <w:szCs w:val="24"/>
        </w:rPr>
        <w:t>“</w:t>
      </w:r>
    </w:p>
    <w:p w:rsidR="008F5D45" w:rsidRDefault="008F5D45" w:rsidP="008F5D45">
      <w:pPr>
        <w:rPr>
          <w:rFonts w:ascii="Times New Roman" w:hAnsi="Times New Roman" w:cs="Times New Roman"/>
          <w:sz w:val="24"/>
          <w:szCs w:val="24"/>
        </w:rPr>
      </w:pPr>
      <w:r>
        <w:rPr>
          <w:rFonts w:ascii="Times New Roman" w:hAnsi="Times New Roman" w:cs="Times New Roman"/>
          <w:sz w:val="24"/>
          <w:szCs w:val="24"/>
        </w:rPr>
        <w:t xml:space="preserve">Es decir, </w:t>
      </w:r>
      <w:r w:rsidR="007B3A32">
        <w:rPr>
          <w:rFonts w:ascii="Times New Roman" w:hAnsi="Times New Roman" w:cs="Times New Roman"/>
          <w:sz w:val="24"/>
          <w:szCs w:val="24"/>
        </w:rPr>
        <w:t xml:space="preserve">se </w:t>
      </w:r>
      <w:r w:rsidRPr="008F5D45">
        <w:rPr>
          <w:rFonts w:ascii="Times New Roman" w:hAnsi="Times New Roman" w:cs="Times New Roman"/>
          <w:sz w:val="24"/>
          <w:szCs w:val="24"/>
        </w:rPr>
        <w:t xml:space="preserve">aclara </w:t>
      </w:r>
      <w:r>
        <w:rPr>
          <w:rFonts w:ascii="Times New Roman" w:hAnsi="Times New Roman" w:cs="Times New Roman"/>
          <w:sz w:val="24"/>
          <w:szCs w:val="24"/>
        </w:rPr>
        <w:t xml:space="preserve">por parte del Tribunal Supremo </w:t>
      </w:r>
      <w:r w:rsidRPr="008F5D45">
        <w:rPr>
          <w:rFonts w:ascii="Times New Roman" w:hAnsi="Times New Roman" w:cs="Times New Roman"/>
          <w:sz w:val="24"/>
          <w:szCs w:val="24"/>
        </w:rPr>
        <w:t xml:space="preserve">que la invocación de la “realidad de lo fáctico” tantas veces repetida </w:t>
      </w:r>
      <w:r>
        <w:rPr>
          <w:rFonts w:ascii="Times New Roman" w:hAnsi="Times New Roman" w:cs="Times New Roman"/>
          <w:sz w:val="24"/>
          <w:szCs w:val="24"/>
        </w:rPr>
        <w:t xml:space="preserve">en estas </w:t>
      </w:r>
      <w:r w:rsidRPr="008F5D45">
        <w:rPr>
          <w:rFonts w:ascii="Times New Roman" w:hAnsi="Times New Roman" w:cs="Times New Roman"/>
          <w:sz w:val="24"/>
          <w:szCs w:val="24"/>
        </w:rPr>
        <w:t xml:space="preserve"> Sentencias, llega exclusivamente hasta la consideración de un suelo como urbano, pero no hasta su categorización como suelo urbano consolidado, confirmándose pues las posibilidades legales con las que cuenta el planificador urbanístico para </w:t>
      </w:r>
      <w:r>
        <w:rPr>
          <w:rFonts w:ascii="Times New Roman" w:hAnsi="Times New Roman" w:cs="Times New Roman"/>
          <w:sz w:val="24"/>
          <w:szCs w:val="24"/>
        </w:rPr>
        <w:t xml:space="preserve">hacer uso de las </w:t>
      </w:r>
      <w:r w:rsidR="00361BD0">
        <w:rPr>
          <w:rFonts w:ascii="Times New Roman" w:hAnsi="Times New Roman" w:cs="Times New Roman"/>
          <w:sz w:val="24"/>
          <w:szCs w:val="24"/>
        </w:rPr>
        <w:t>“</w:t>
      </w:r>
      <w:r w:rsidRPr="008F5D45">
        <w:rPr>
          <w:rFonts w:ascii="Times New Roman" w:hAnsi="Times New Roman" w:cs="Times New Roman"/>
          <w:sz w:val="24"/>
          <w:szCs w:val="24"/>
        </w:rPr>
        <w:t>actuaciones de dotación</w:t>
      </w:r>
      <w:r w:rsidR="00361BD0">
        <w:rPr>
          <w:rFonts w:ascii="Times New Roman" w:hAnsi="Times New Roman" w:cs="Times New Roman"/>
          <w:sz w:val="24"/>
          <w:szCs w:val="24"/>
        </w:rPr>
        <w:t>”</w:t>
      </w:r>
      <w:r>
        <w:rPr>
          <w:rFonts w:ascii="Times New Roman" w:hAnsi="Times New Roman" w:cs="Times New Roman"/>
          <w:sz w:val="24"/>
          <w:szCs w:val="24"/>
        </w:rPr>
        <w:t xml:space="preserve"> previstas en la Legislación </w:t>
      </w:r>
      <w:r w:rsidR="00361BD0">
        <w:rPr>
          <w:rFonts w:ascii="Times New Roman" w:hAnsi="Times New Roman" w:cs="Times New Roman"/>
          <w:sz w:val="24"/>
          <w:szCs w:val="24"/>
        </w:rPr>
        <w:t>E</w:t>
      </w:r>
      <w:r>
        <w:rPr>
          <w:rFonts w:ascii="Times New Roman" w:hAnsi="Times New Roman" w:cs="Times New Roman"/>
          <w:sz w:val="24"/>
          <w:szCs w:val="24"/>
        </w:rPr>
        <w:t>statal de suelo desde la entrada en vigor de la Ley 8/2007</w:t>
      </w:r>
      <w:r w:rsidRPr="008F5D45">
        <w:rPr>
          <w:rFonts w:ascii="Times New Roman" w:hAnsi="Times New Roman" w:cs="Times New Roman"/>
          <w:sz w:val="24"/>
          <w:szCs w:val="24"/>
        </w:rPr>
        <w:t xml:space="preserve">, </w:t>
      </w:r>
      <w:r w:rsidR="00361BD0">
        <w:rPr>
          <w:rFonts w:ascii="Times New Roman" w:hAnsi="Times New Roman" w:cs="Times New Roman"/>
          <w:sz w:val="24"/>
          <w:szCs w:val="24"/>
        </w:rPr>
        <w:t xml:space="preserve">de 28 de Mayo, </w:t>
      </w:r>
      <w:r>
        <w:rPr>
          <w:rFonts w:ascii="Times New Roman" w:hAnsi="Times New Roman" w:cs="Times New Roman"/>
          <w:sz w:val="24"/>
          <w:szCs w:val="24"/>
        </w:rPr>
        <w:t xml:space="preserve">y que con este mismo nombre se han recogido en el art. 17.3 de la Ley Gallega. </w:t>
      </w:r>
    </w:p>
    <w:p w:rsidR="008F5D45" w:rsidRDefault="007B3A32" w:rsidP="00B22E1C">
      <w:pPr>
        <w:rPr>
          <w:rFonts w:ascii="Times New Roman" w:hAnsi="Times New Roman" w:cs="Times New Roman"/>
          <w:sz w:val="24"/>
          <w:szCs w:val="24"/>
        </w:rPr>
      </w:pPr>
      <w:r>
        <w:rPr>
          <w:rFonts w:ascii="Times New Roman" w:hAnsi="Times New Roman" w:cs="Times New Roman"/>
          <w:sz w:val="24"/>
          <w:szCs w:val="24"/>
        </w:rPr>
        <w:t>Y siendo crítico, si se me permite, con estas tres sentencias del Tribunal Supremo por las que se declara nulo el PGOU de Marbella</w:t>
      </w:r>
      <w:r w:rsidR="00B22E1C">
        <w:rPr>
          <w:rFonts w:ascii="Times New Roman" w:hAnsi="Times New Roman" w:cs="Times New Roman"/>
          <w:sz w:val="24"/>
          <w:szCs w:val="24"/>
        </w:rPr>
        <w:t>;</w:t>
      </w:r>
      <w:r>
        <w:rPr>
          <w:rFonts w:ascii="Times New Roman" w:hAnsi="Times New Roman" w:cs="Times New Roman"/>
          <w:sz w:val="24"/>
          <w:szCs w:val="24"/>
        </w:rPr>
        <w:t xml:space="preserve"> se agradece desde mi punto de vista esta aclaración, pues </w:t>
      </w:r>
      <w:r w:rsidR="000F371A">
        <w:rPr>
          <w:rFonts w:ascii="Times New Roman" w:hAnsi="Times New Roman" w:cs="Times New Roman"/>
          <w:sz w:val="24"/>
          <w:szCs w:val="24"/>
        </w:rPr>
        <w:t>no estaba tan claro</w:t>
      </w:r>
      <w:r w:rsidR="00B22E1C">
        <w:rPr>
          <w:rFonts w:ascii="Times New Roman" w:hAnsi="Times New Roman" w:cs="Times New Roman"/>
          <w:sz w:val="24"/>
          <w:szCs w:val="24"/>
        </w:rPr>
        <w:t>, o al menos yo no le v</w:t>
      </w:r>
      <w:r w:rsidR="00361BD0">
        <w:rPr>
          <w:rFonts w:ascii="Times New Roman" w:hAnsi="Times New Roman" w:cs="Times New Roman"/>
          <w:sz w:val="24"/>
          <w:szCs w:val="24"/>
        </w:rPr>
        <w:t>e</w:t>
      </w:r>
      <w:r w:rsidR="00B22E1C">
        <w:rPr>
          <w:rFonts w:ascii="Times New Roman" w:hAnsi="Times New Roman" w:cs="Times New Roman"/>
          <w:sz w:val="24"/>
          <w:szCs w:val="24"/>
        </w:rPr>
        <w:t xml:space="preserve">ía tan claro, del contenido de las afirmaciones que se contienen en los F.J 3, 10 y 20 de las Sentencias de 27 y 28 de Octubre, respectivamente.  </w:t>
      </w:r>
    </w:p>
    <w:p w:rsidR="00242DCB" w:rsidRDefault="00B22E1C" w:rsidP="00B22E1C">
      <w:pPr>
        <w:rPr>
          <w:rFonts w:ascii="Times New Roman" w:hAnsi="Times New Roman" w:cs="Times New Roman"/>
          <w:sz w:val="24"/>
          <w:szCs w:val="24"/>
        </w:rPr>
      </w:pPr>
      <w:r>
        <w:rPr>
          <w:rFonts w:ascii="Times New Roman" w:hAnsi="Times New Roman" w:cs="Times New Roman"/>
          <w:sz w:val="24"/>
          <w:szCs w:val="24"/>
        </w:rPr>
        <w:lastRenderedPageBreak/>
        <w:t>Tal aclaración, como no podía ser de otra forma, pues así se deriva de la propia Legislación Urbanística incorporada al Texto Refundido de la Ley del suelo de 2008</w:t>
      </w:r>
      <w:r w:rsidR="00F85B8C">
        <w:rPr>
          <w:rFonts w:ascii="Times New Roman" w:hAnsi="Times New Roman" w:cs="Times New Roman"/>
          <w:sz w:val="24"/>
          <w:szCs w:val="24"/>
        </w:rPr>
        <w:t>,</w:t>
      </w:r>
      <w:r>
        <w:rPr>
          <w:rFonts w:ascii="Times New Roman" w:hAnsi="Times New Roman" w:cs="Times New Roman"/>
          <w:sz w:val="24"/>
          <w:szCs w:val="24"/>
        </w:rPr>
        <w:t xml:space="preserve"> nos llevan a la posibilidad legal de las conocidas como </w:t>
      </w:r>
      <w:r w:rsidRPr="00361BD0">
        <w:rPr>
          <w:rFonts w:ascii="Times New Roman" w:hAnsi="Times New Roman" w:cs="Times New Roman"/>
          <w:sz w:val="24"/>
          <w:szCs w:val="24"/>
          <w:u w:val="single"/>
        </w:rPr>
        <w:t>actuaciones de dotación</w:t>
      </w:r>
      <w:r>
        <w:rPr>
          <w:rFonts w:ascii="Times New Roman" w:hAnsi="Times New Roman" w:cs="Times New Roman"/>
          <w:sz w:val="24"/>
          <w:szCs w:val="24"/>
        </w:rPr>
        <w:t xml:space="preserve">, como técnica urbanística que permite </w:t>
      </w:r>
      <w:r w:rsidR="00242DCB">
        <w:rPr>
          <w:rFonts w:ascii="Times New Roman" w:hAnsi="Times New Roman" w:cs="Times New Roman"/>
          <w:sz w:val="24"/>
          <w:szCs w:val="24"/>
        </w:rPr>
        <w:t>“</w:t>
      </w:r>
      <w:proofErr w:type="spellStart"/>
      <w:r>
        <w:rPr>
          <w:rFonts w:ascii="Times New Roman" w:hAnsi="Times New Roman" w:cs="Times New Roman"/>
          <w:sz w:val="24"/>
          <w:szCs w:val="24"/>
        </w:rPr>
        <w:t>descategorizar</w:t>
      </w:r>
      <w:proofErr w:type="spellEnd"/>
      <w:r w:rsidR="00242DCB">
        <w:rPr>
          <w:rFonts w:ascii="Times New Roman" w:hAnsi="Times New Roman" w:cs="Times New Roman"/>
          <w:sz w:val="24"/>
          <w:szCs w:val="24"/>
        </w:rPr>
        <w:t>”</w:t>
      </w:r>
      <w:r>
        <w:rPr>
          <w:rFonts w:ascii="Times New Roman" w:hAnsi="Times New Roman" w:cs="Times New Roman"/>
          <w:sz w:val="24"/>
          <w:szCs w:val="24"/>
        </w:rPr>
        <w:t xml:space="preserve"> un suelo de urbano consolidado a urbano no consolidado cuando el nuevo planeamiento urbanístico aplicable, ex </w:t>
      </w:r>
      <w:proofErr w:type="spellStart"/>
      <w:r>
        <w:rPr>
          <w:rFonts w:ascii="Times New Roman" w:hAnsi="Times New Roman" w:cs="Times New Roman"/>
          <w:sz w:val="24"/>
          <w:szCs w:val="24"/>
        </w:rPr>
        <w:t>novo</w:t>
      </w:r>
      <w:proofErr w:type="spellEnd"/>
      <w:r>
        <w:rPr>
          <w:rFonts w:ascii="Times New Roman" w:hAnsi="Times New Roman" w:cs="Times New Roman"/>
          <w:sz w:val="24"/>
          <w:szCs w:val="24"/>
        </w:rPr>
        <w:t xml:space="preserve"> en su totalidad o resultante de una innovación, le atribuya una mayor edificabilidad o una mayor densidad respecto al aprovechamiento preexistente</w:t>
      </w:r>
      <w:r w:rsidR="00242DCB">
        <w:rPr>
          <w:rFonts w:ascii="Times New Roman" w:hAnsi="Times New Roman" w:cs="Times New Roman"/>
          <w:sz w:val="24"/>
          <w:szCs w:val="24"/>
        </w:rPr>
        <w:t xml:space="preserve">. </w:t>
      </w:r>
    </w:p>
    <w:p w:rsidR="00242DCB" w:rsidRDefault="00242DCB" w:rsidP="00B22E1C">
      <w:pPr>
        <w:rPr>
          <w:rFonts w:ascii="Times New Roman" w:hAnsi="Times New Roman" w:cs="Times New Roman"/>
          <w:sz w:val="24"/>
          <w:szCs w:val="24"/>
        </w:rPr>
      </w:pPr>
      <w:r>
        <w:rPr>
          <w:rFonts w:ascii="Times New Roman" w:hAnsi="Times New Roman" w:cs="Times New Roman"/>
          <w:sz w:val="24"/>
          <w:szCs w:val="24"/>
        </w:rPr>
        <w:t xml:space="preserve">Y esa posibilidad </w:t>
      </w:r>
      <w:r w:rsidR="00DB7E01">
        <w:rPr>
          <w:rFonts w:ascii="Times New Roman" w:hAnsi="Times New Roman" w:cs="Times New Roman"/>
          <w:sz w:val="24"/>
          <w:szCs w:val="24"/>
        </w:rPr>
        <w:t xml:space="preserve">legal que </w:t>
      </w:r>
      <w:r>
        <w:rPr>
          <w:rFonts w:ascii="Times New Roman" w:hAnsi="Times New Roman" w:cs="Times New Roman"/>
          <w:sz w:val="24"/>
          <w:szCs w:val="24"/>
        </w:rPr>
        <w:t xml:space="preserve">se encuentra recogida por primera vez en la </w:t>
      </w:r>
      <w:r w:rsidRPr="00242DCB">
        <w:rPr>
          <w:rFonts w:ascii="Times New Roman" w:hAnsi="Times New Roman" w:cs="Times New Roman"/>
          <w:sz w:val="24"/>
          <w:szCs w:val="24"/>
        </w:rPr>
        <w:t xml:space="preserve">Ley estatal de suelo de 2007, </w:t>
      </w:r>
      <w:r w:rsidR="00DB7E01">
        <w:rPr>
          <w:rFonts w:ascii="Times New Roman" w:hAnsi="Times New Roman" w:cs="Times New Roman"/>
          <w:sz w:val="24"/>
          <w:szCs w:val="24"/>
        </w:rPr>
        <w:t xml:space="preserve">y </w:t>
      </w:r>
      <w:r w:rsidRPr="00242DCB">
        <w:rPr>
          <w:rFonts w:ascii="Times New Roman" w:hAnsi="Times New Roman" w:cs="Times New Roman"/>
          <w:sz w:val="24"/>
          <w:szCs w:val="24"/>
        </w:rPr>
        <w:t xml:space="preserve">actualmente recogido en el art. </w:t>
      </w:r>
      <w:r w:rsidR="00DB7E01">
        <w:rPr>
          <w:rFonts w:ascii="Times New Roman" w:hAnsi="Times New Roman" w:cs="Times New Roman"/>
          <w:sz w:val="24"/>
          <w:szCs w:val="24"/>
        </w:rPr>
        <w:t>7</w:t>
      </w:r>
      <w:r w:rsidRPr="00242DCB">
        <w:rPr>
          <w:rFonts w:ascii="Times New Roman" w:hAnsi="Times New Roman" w:cs="Times New Roman"/>
          <w:sz w:val="24"/>
          <w:szCs w:val="24"/>
        </w:rPr>
        <w:t xml:space="preserve"> </w:t>
      </w:r>
      <w:r w:rsidR="00DB7E01">
        <w:rPr>
          <w:rFonts w:ascii="Times New Roman" w:hAnsi="Times New Roman" w:cs="Times New Roman"/>
          <w:sz w:val="24"/>
          <w:szCs w:val="24"/>
        </w:rPr>
        <w:t xml:space="preserve">del </w:t>
      </w:r>
      <w:proofErr w:type="spellStart"/>
      <w:r w:rsidR="00DB7E01">
        <w:rPr>
          <w:rFonts w:ascii="Times New Roman" w:hAnsi="Times New Roman" w:cs="Times New Roman"/>
          <w:sz w:val="24"/>
          <w:szCs w:val="24"/>
        </w:rPr>
        <w:t>R.D.Leg</w:t>
      </w:r>
      <w:proofErr w:type="spellEnd"/>
      <w:r w:rsidR="00DB7E01">
        <w:rPr>
          <w:rFonts w:ascii="Times New Roman" w:hAnsi="Times New Roman" w:cs="Times New Roman"/>
          <w:sz w:val="24"/>
          <w:szCs w:val="24"/>
        </w:rPr>
        <w:t xml:space="preserve"> 7/2015, de 30 de Octubre, </w:t>
      </w:r>
      <w:r>
        <w:rPr>
          <w:rFonts w:ascii="Times New Roman" w:hAnsi="Times New Roman" w:cs="Times New Roman"/>
          <w:sz w:val="24"/>
          <w:szCs w:val="24"/>
        </w:rPr>
        <w:t xml:space="preserve">la cual </w:t>
      </w:r>
      <w:r w:rsidRPr="00242DCB">
        <w:rPr>
          <w:rFonts w:ascii="Times New Roman" w:hAnsi="Times New Roman" w:cs="Times New Roman"/>
          <w:sz w:val="24"/>
          <w:szCs w:val="24"/>
        </w:rPr>
        <w:t>pretende desplazar la tradicional concepción desarrollista impulsora de un crecimiento urbano ilimitado por otra que lo controle, insistiendo en la regeneración de la ciudad existente</w:t>
      </w:r>
      <w:r>
        <w:rPr>
          <w:rFonts w:ascii="Times New Roman" w:hAnsi="Times New Roman" w:cs="Times New Roman"/>
          <w:sz w:val="24"/>
          <w:szCs w:val="24"/>
        </w:rPr>
        <w:t xml:space="preserve">, </w:t>
      </w:r>
      <w:r w:rsidRPr="00242DCB">
        <w:rPr>
          <w:rFonts w:ascii="Times New Roman" w:hAnsi="Times New Roman" w:cs="Times New Roman"/>
          <w:sz w:val="24"/>
          <w:szCs w:val="24"/>
        </w:rPr>
        <w:t xml:space="preserve"> frente a las nuevas transformaciones de suelo</w:t>
      </w:r>
      <w:r>
        <w:rPr>
          <w:rFonts w:ascii="Times New Roman" w:hAnsi="Times New Roman" w:cs="Times New Roman"/>
          <w:sz w:val="24"/>
          <w:szCs w:val="24"/>
        </w:rPr>
        <w:t>.</w:t>
      </w:r>
    </w:p>
    <w:p w:rsidR="00242DCB" w:rsidRPr="007113EA" w:rsidRDefault="00242DCB" w:rsidP="00B22E1C">
      <w:pPr>
        <w:rPr>
          <w:rFonts w:ascii="Times New Roman" w:hAnsi="Times New Roman" w:cs="Times New Roman"/>
          <w:i/>
          <w:sz w:val="24"/>
          <w:szCs w:val="24"/>
        </w:rPr>
      </w:pPr>
      <w:r w:rsidRPr="00242DCB">
        <w:rPr>
          <w:rFonts w:ascii="Times New Roman" w:hAnsi="Times New Roman" w:cs="Times New Roman"/>
          <w:sz w:val="24"/>
          <w:szCs w:val="24"/>
        </w:rPr>
        <w:t xml:space="preserve">La Exposición de Motivos de la Ley de Suelo de 2007 apela a </w:t>
      </w:r>
      <w:r w:rsidRPr="00242DCB">
        <w:rPr>
          <w:rFonts w:ascii="Times New Roman" w:hAnsi="Times New Roman" w:cs="Times New Roman"/>
          <w:i/>
          <w:sz w:val="24"/>
          <w:szCs w:val="24"/>
        </w:rPr>
        <w:t>que “el urbanismo debe responder a los requerimientos de un desarrollo sostenible, minimizando el impacto de aquel crecimiento y apostando por la regen</w:t>
      </w:r>
      <w:r w:rsidR="007113EA">
        <w:rPr>
          <w:rFonts w:ascii="Times New Roman" w:hAnsi="Times New Roman" w:cs="Times New Roman"/>
          <w:i/>
          <w:sz w:val="24"/>
          <w:szCs w:val="24"/>
        </w:rPr>
        <w:t xml:space="preserve">eración de la ciudad existente”. </w:t>
      </w:r>
      <w:r>
        <w:rPr>
          <w:rFonts w:ascii="Times New Roman" w:hAnsi="Times New Roman" w:cs="Times New Roman"/>
          <w:i/>
          <w:sz w:val="24"/>
          <w:szCs w:val="24"/>
        </w:rPr>
        <w:t xml:space="preserve"> </w:t>
      </w:r>
      <w:r w:rsidR="007113EA" w:rsidRPr="007113EA">
        <w:rPr>
          <w:rFonts w:ascii="Times New Roman" w:hAnsi="Times New Roman" w:cs="Times New Roman"/>
          <w:sz w:val="24"/>
          <w:szCs w:val="24"/>
        </w:rPr>
        <w:t xml:space="preserve">La Unión Europea insiste claramente en ello. Un ejemplo lo constituye la Estrategia Territorial Europea </w:t>
      </w:r>
      <w:r w:rsidR="00F37C09">
        <w:rPr>
          <w:rFonts w:ascii="Times New Roman" w:hAnsi="Times New Roman" w:cs="Times New Roman"/>
          <w:sz w:val="24"/>
          <w:szCs w:val="24"/>
        </w:rPr>
        <w:t xml:space="preserve">aprobada por la Comisión Europea en fecha </w:t>
      </w:r>
      <w:r w:rsidR="007113EA" w:rsidRPr="007113EA">
        <w:rPr>
          <w:rFonts w:ascii="Times New Roman" w:hAnsi="Times New Roman" w:cs="Times New Roman"/>
          <w:sz w:val="24"/>
          <w:szCs w:val="24"/>
        </w:rPr>
        <w:t xml:space="preserve">11 de enero de 2006, </w:t>
      </w:r>
      <w:r w:rsidR="00F37C09">
        <w:rPr>
          <w:rFonts w:ascii="Times New Roman" w:hAnsi="Times New Roman" w:cs="Times New Roman"/>
          <w:sz w:val="24"/>
          <w:szCs w:val="24"/>
        </w:rPr>
        <w:t xml:space="preserve">en la que se </w:t>
      </w:r>
      <w:r w:rsidR="007113EA" w:rsidRPr="007113EA">
        <w:rPr>
          <w:rFonts w:ascii="Times New Roman" w:hAnsi="Times New Roman" w:cs="Times New Roman"/>
          <w:i/>
          <w:sz w:val="24"/>
          <w:szCs w:val="24"/>
        </w:rPr>
        <w:t>“propone un modelo de ciudad compacta y advierte de los graves inconvenientes de la urbanización dispersa o desordenada</w:t>
      </w:r>
      <w:proofErr w:type="gramStart"/>
      <w:r w:rsidR="007113EA" w:rsidRPr="007113EA">
        <w:rPr>
          <w:rFonts w:ascii="Times New Roman" w:hAnsi="Times New Roman" w:cs="Times New Roman"/>
          <w:i/>
          <w:sz w:val="24"/>
          <w:szCs w:val="24"/>
        </w:rPr>
        <w:t>..”</w:t>
      </w:r>
      <w:proofErr w:type="gramEnd"/>
    </w:p>
    <w:p w:rsidR="007113EA" w:rsidRPr="007113EA" w:rsidRDefault="00676A9E" w:rsidP="007113EA">
      <w:pPr>
        <w:rPr>
          <w:rFonts w:ascii="Times New Roman" w:hAnsi="Times New Roman" w:cs="Times New Roman"/>
          <w:sz w:val="24"/>
          <w:szCs w:val="24"/>
        </w:rPr>
      </w:pPr>
      <w:r>
        <w:rPr>
          <w:rFonts w:ascii="Times New Roman" w:hAnsi="Times New Roman" w:cs="Times New Roman"/>
          <w:sz w:val="24"/>
          <w:szCs w:val="24"/>
        </w:rPr>
        <w:t>Exis</w:t>
      </w:r>
      <w:r w:rsidR="007113EA">
        <w:rPr>
          <w:rFonts w:ascii="Times New Roman" w:hAnsi="Times New Roman" w:cs="Times New Roman"/>
          <w:sz w:val="24"/>
          <w:szCs w:val="24"/>
        </w:rPr>
        <w:t>ten Sentencias del  propio Tribunal Supremo e</w:t>
      </w:r>
      <w:r w:rsidR="007113EA" w:rsidRPr="007113EA">
        <w:rPr>
          <w:rFonts w:ascii="Times New Roman" w:hAnsi="Times New Roman" w:cs="Times New Roman"/>
          <w:sz w:val="24"/>
          <w:szCs w:val="24"/>
        </w:rPr>
        <w:t>xponentes de esta doctrina que rechazan crecimientos difusos por resultar contrarios a un desarrollo equilibrado, sostenible y respetuoso con los valores ambientales,  lo constituyen las SSTS de 17 julio 2015 (RJ 2015/3497), 29 de julio de 2015 (RJ 2015/3710), 7 mayo de 2015 (RJ 2015/2414), y 21 de abril de 2015 (RJ 2015/2175).</w:t>
      </w:r>
    </w:p>
    <w:p w:rsidR="007113EA" w:rsidRPr="007113EA" w:rsidRDefault="007113EA" w:rsidP="007113EA">
      <w:pPr>
        <w:rPr>
          <w:rFonts w:ascii="Times New Roman" w:hAnsi="Times New Roman" w:cs="Times New Roman"/>
          <w:sz w:val="24"/>
          <w:szCs w:val="24"/>
        </w:rPr>
      </w:pPr>
      <w:r w:rsidRPr="007113EA">
        <w:rPr>
          <w:rFonts w:ascii="Times New Roman" w:hAnsi="Times New Roman" w:cs="Times New Roman"/>
          <w:sz w:val="24"/>
          <w:szCs w:val="24"/>
        </w:rPr>
        <w:t xml:space="preserve">Clarificadora es la STS de 18 junio 2015 </w:t>
      </w:r>
      <w:proofErr w:type="gramStart"/>
      <w:r w:rsidRPr="007113EA">
        <w:rPr>
          <w:rFonts w:ascii="Times New Roman" w:hAnsi="Times New Roman" w:cs="Times New Roman"/>
          <w:sz w:val="24"/>
          <w:szCs w:val="24"/>
        </w:rPr>
        <w:t>( RJ</w:t>
      </w:r>
      <w:proofErr w:type="gramEnd"/>
      <w:r w:rsidRPr="007113EA">
        <w:rPr>
          <w:rFonts w:ascii="Times New Roman" w:hAnsi="Times New Roman" w:cs="Times New Roman"/>
          <w:sz w:val="24"/>
          <w:szCs w:val="24"/>
        </w:rPr>
        <w:t xml:space="preserve"> 2015/3412) que en este punto sostiene: </w:t>
      </w:r>
    </w:p>
    <w:p w:rsidR="007113EA" w:rsidRPr="00EE6DB6" w:rsidRDefault="007113EA" w:rsidP="007113EA">
      <w:pPr>
        <w:rPr>
          <w:rFonts w:ascii="Times New Roman" w:hAnsi="Times New Roman" w:cs="Times New Roman"/>
          <w:i/>
          <w:sz w:val="24"/>
          <w:szCs w:val="24"/>
        </w:rPr>
      </w:pPr>
      <w:r w:rsidRPr="00EE6DB6">
        <w:rPr>
          <w:rFonts w:ascii="Times New Roman" w:hAnsi="Times New Roman" w:cs="Times New Roman"/>
          <w:i/>
          <w:sz w:val="24"/>
          <w:szCs w:val="24"/>
        </w:rPr>
        <w:t xml:space="preserve">“(…) la Sala considera que del contenido de dicha motivación resulta que esta no justifica ni es suficiente para acreditar la necesidad ni el interés público de la presente modificación, y ello por lo siguiente: primero, porque pese a lo dicho en la Memoria con el contenido de la misma no se pretende resolver verdaderas y reales necesidades de suelo residencial o comercial por cuanto que no se ha acreditado que concurran en el momento de la modificación y en un periodo de corto o medio plazo durante el cual se pretende llevar a efectos tales determinaciones urbanísticas esas necesidades de suelo residencial o comercial; y segundo, </w:t>
      </w:r>
      <w:r w:rsidRPr="00EE6DB6">
        <w:rPr>
          <w:rFonts w:ascii="Times New Roman" w:hAnsi="Times New Roman" w:cs="Times New Roman"/>
          <w:i/>
          <w:sz w:val="24"/>
          <w:szCs w:val="24"/>
          <w:u w:val="single"/>
        </w:rPr>
        <w:t>porque como resulta de no haber respetado los criterios de colindancia con el suelo urbano se comprueba que el planeamiento que se pretende introducir con dicha modificación no va dirigido a completar las tramas urbanas existentes, a solucionar problemas urbanísticos de las áreas degradadas ni a regenerar la ciudad existente sino que con la nueva clasificación de suelo urbanizable contenida en dicha modificación y con la forma en que contempla esa ampliación de suelo urbanizable, apenas colindante con el suelo urbano y mediante un verdadero desarrollo lineal, aumenta el impacto del crecimiento y atenta contra el principio de "modelo de ciudad compacta" que se reivindica tanto en el TRLS de 2008 como en la Ley de Urbanismo de Castilla y León</w:t>
      </w:r>
      <w:r w:rsidRPr="00EE6DB6">
        <w:rPr>
          <w:rFonts w:ascii="Times New Roman" w:hAnsi="Times New Roman" w:cs="Times New Roman"/>
          <w:i/>
          <w:sz w:val="24"/>
          <w:szCs w:val="24"/>
        </w:rPr>
        <w:t xml:space="preserve"> con los mayores costes que ello supone desde el punto de vista del impacto ambiental como por los mayores costes deconstrucción y mantenimiento de infraestructuras y de prestación de los servicios públicos. Por lo tanto, de dichos argumentos igualmente resulta que la modificación aprobada y la clasificación </w:t>
      </w:r>
      <w:r w:rsidRPr="00EE6DB6">
        <w:rPr>
          <w:rFonts w:ascii="Times New Roman" w:hAnsi="Times New Roman" w:cs="Times New Roman"/>
          <w:i/>
          <w:sz w:val="24"/>
          <w:szCs w:val="24"/>
        </w:rPr>
        <w:lastRenderedPageBreak/>
        <w:t xml:space="preserve">de suelo urbanizable que se contiene en la misma no se ha acreditado que responda al interés general y a la finalidad que en el art. 4 de la </w:t>
      </w:r>
      <w:proofErr w:type="spellStart"/>
      <w:r w:rsidRPr="00EE6DB6">
        <w:rPr>
          <w:rFonts w:ascii="Times New Roman" w:hAnsi="Times New Roman" w:cs="Times New Roman"/>
          <w:i/>
          <w:sz w:val="24"/>
          <w:szCs w:val="24"/>
        </w:rPr>
        <w:t>LUCyL</w:t>
      </w:r>
      <w:proofErr w:type="spellEnd"/>
      <w:r w:rsidRPr="00EE6DB6">
        <w:rPr>
          <w:rFonts w:ascii="Times New Roman" w:hAnsi="Times New Roman" w:cs="Times New Roman"/>
          <w:i/>
          <w:sz w:val="24"/>
          <w:szCs w:val="24"/>
        </w:rPr>
        <w:t xml:space="preserve"> se reconoce a la actividad urbanística pública”. </w:t>
      </w:r>
    </w:p>
    <w:p w:rsidR="00242DCB" w:rsidRDefault="007113EA" w:rsidP="007113EA">
      <w:pPr>
        <w:rPr>
          <w:rFonts w:ascii="Times New Roman" w:hAnsi="Times New Roman" w:cs="Times New Roman"/>
          <w:sz w:val="24"/>
          <w:szCs w:val="24"/>
        </w:rPr>
      </w:pPr>
      <w:r w:rsidRPr="007113EA">
        <w:rPr>
          <w:rFonts w:ascii="Times New Roman" w:hAnsi="Times New Roman" w:cs="Times New Roman"/>
          <w:sz w:val="24"/>
          <w:szCs w:val="24"/>
        </w:rPr>
        <w:t>Desde esta óptica, cada vez más los órganos jurisdiccionales están anulando las determinaciones contenidas en los planes urbanísticos que acogen crecim</w:t>
      </w:r>
      <w:r w:rsidR="00BE4E27">
        <w:rPr>
          <w:rFonts w:ascii="Times New Roman" w:hAnsi="Times New Roman" w:cs="Times New Roman"/>
          <w:sz w:val="24"/>
          <w:szCs w:val="24"/>
        </w:rPr>
        <w:t xml:space="preserve">ientos desorbitados y contrarios por tanto a </w:t>
      </w:r>
      <w:r w:rsidR="00676A9E">
        <w:rPr>
          <w:rFonts w:ascii="Times New Roman" w:hAnsi="Times New Roman" w:cs="Times New Roman"/>
          <w:sz w:val="24"/>
          <w:szCs w:val="24"/>
        </w:rPr>
        <w:t xml:space="preserve">los </w:t>
      </w:r>
      <w:r w:rsidR="00BE4E27">
        <w:rPr>
          <w:rFonts w:ascii="Times New Roman" w:hAnsi="Times New Roman" w:cs="Times New Roman"/>
          <w:sz w:val="24"/>
          <w:szCs w:val="24"/>
        </w:rPr>
        <w:t xml:space="preserve">criterios de regeneración de la ciudad existente. </w:t>
      </w:r>
    </w:p>
    <w:p w:rsidR="00B22E1C" w:rsidRDefault="00AD03D9" w:rsidP="00B22E1C">
      <w:pPr>
        <w:rPr>
          <w:rFonts w:ascii="Times New Roman" w:hAnsi="Times New Roman" w:cs="Times New Roman"/>
          <w:sz w:val="24"/>
          <w:szCs w:val="24"/>
        </w:rPr>
      </w:pPr>
      <w:r>
        <w:rPr>
          <w:rFonts w:ascii="Times New Roman" w:hAnsi="Times New Roman" w:cs="Times New Roman"/>
          <w:sz w:val="24"/>
          <w:szCs w:val="24"/>
        </w:rPr>
        <w:t>Estos criterios contenidos en la Legislación Estatal ven su reflejo en las l</w:t>
      </w:r>
      <w:r w:rsidR="00B22E1C">
        <w:rPr>
          <w:rFonts w:ascii="Times New Roman" w:hAnsi="Times New Roman" w:cs="Times New Roman"/>
          <w:sz w:val="24"/>
          <w:szCs w:val="24"/>
        </w:rPr>
        <w:t xml:space="preserve">egislaciones urbanísticas de las diferentes Comunidades Autónomas; en Andalucía </w:t>
      </w:r>
      <w:r w:rsidR="00BD6789">
        <w:rPr>
          <w:rFonts w:ascii="Times New Roman" w:hAnsi="Times New Roman" w:cs="Times New Roman"/>
          <w:sz w:val="24"/>
          <w:szCs w:val="24"/>
        </w:rPr>
        <w:t xml:space="preserve">si bien </w:t>
      </w:r>
      <w:r w:rsidR="00676A9E">
        <w:rPr>
          <w:rFonts w:ascii="Times New Roman" w:hAnsi="Times New Roman" w:cs="Times New Roman"/>
          <w:sz w:val="24"/>
          <w:szCs w:val="24"/>
        </w:rPr>
        <w:t xml:space="preserve">la LOUA del año 2002 </w:t>
      </w:r>
      <w:r w:rsidR="00BD6789">
        <w:rPr>
          <w:rFonts w:ascii="Times New Roman" w:hAnsi="Times New Roman" w:cs="Times New Roman"/>
          <w:sz w:val="24"/>
          <w:szCs w:val="24"/>
        </w:rPr>
        <w:t xml:space="preserve">ya </w:t>
      </w:r>
      <w:r w:rsidR="00676A9E">
        <w:rPr>
          <w:rFonts w:ascii="Times New Roman" w:hAnsi="Times New Roman" w:cs="Times New Roman"/>
          <w:sz w:val="24"/>
          <w:szCs w:val="24"/>
        </w:rPr>
        <w:t>contenía esta posibilidad de considerar suelos urbanos no consolidados aquellos suelos a los cuales era necesario implementar en dotaciones por existir un nuevo instrumento de planeamiento que le atribuye un mayor aprovechamiento objetivo</w:t>
      </w:r>
      <w:r w:rsidR="00DB7E01">
        <w:rPr>
          <w:rFonts w:ascii="Times New Roman" w:hAnsi="Times New Roman" w:cs="Times New Roman"/>
          <w:sz w:val="24"/>
          <w:szCs w:val="24"/>
        </w:rPr>
        <w:t xml:space="preserve">, </w:t>
      </w:r>
      <w:r w:rsidR="00676A9E">
        <w:rPr>
          <w:rFonts w:ascii="Times New Roman" w:hAnsi="Times New Roman" w:cs="Times New Roman"/>
          <w:sz w:val="24"/>
          <w:szCs w:val="24"/>
        </w:rPr>
        <w:t xml:space="preserve"> su regulación detallada viene de la mano de la Ley </w:t>
      </w:r>
      <w:r w:rsidR="00BD6789">
        <w:rPr>
          <w:rFonts w:ascii="Times New Roman" w:hAnsi="Times New Roman" w:cs="Times New Roman"/>
          <w:sz w:val="24"/>
          <w:szCs w:val="24"/>
        </w:rPr>
        <w:t>2/2012,</w:t>
      </w:r>
      <w:r w:rsidR="00676A9E">
        <w:rPr>
          <w:rFonts w:ascii="Times New Roman" w:hAnsi="Times New Roman" w:cs="Times New Roman"/>
          <w:sz w:val="24"/>
          <w:szCs w:val="24"/>
        </w:rPr>
        <w:t xml:space="preserve"> de</w:t>
      </w:r>
      <w:r w:rsidR="009A23D9">
        <w:rPr>
          <w:rFonts w:ascii="Times New Roman" w:hAnsi="Times New Roman" w:cs="Times New Roman"/>
          <w:sz w:val="24"/>
          <w:szCs w:val="24"/>
        </w:rPr>
        <w:t xml:space="preserve"> 30 de Enero que</w:t>
      </w:r>
      <w:r w:rsidR="00676A9E">
        <w:rPr>
          <w:rFonts w:ascii="Times New Roman" w:hAnsi="Times New Roman" w:cs="Times New Roman"/>
          <w:sz w:val="24"/>
          <w:szCs w:val="24"/>
        </w:rPr>
        <w:t xml:space="preserve"> da una nueva redacción al </w:t>
      </w:r>
      <w:r w:rsidR="00B22E1C">
        <w:rPr>
          <w:rFonts w:ascii="Times New Roman" w:hAnsi="Times New Roman" w:cs="Times New Roman"/>
          <w:sz w:val="24"/>
          <w:szCs w:val="24"/>
        </w:rPr>
        <w:t xml:space="preserve">art. </w:t>
      </w:r>
      <w:r w:rsidR="00BD6789">
        <w:rPr>
          <w:rFonts w:ascii="Times New Roman" w:hAnsi="Times New Roman" w:cs="Times New Roman"/>
          <w:sz w:val="24"/>
          <w:szCs w:val="24"/>
        </w:rPr>
        <w:t xml:space="preserve">45.2.B.c) y, </w:t>
      </w:r>
      <w:r w:rsidR="00676A9E">
        <w:rPr>
          <w:rFonts w:ascii="Times New Roman" w:hAnsi="Times New Roman" w:cs="Times New Roman"/>
          <w:sz w:val="24"/>
          <w:szCs w:val="24"/>
        </w:rPr>
        <w:t xml:space="preserve">asimismo, </w:t>
      </w:r>
      <w:r w:rsidR="00BD6789">
        <w:rPr>
          <w:rFonts w:ascii="Times New Roman" w:hAnsi="Times New Roman" w:cs="Times New Roman"/>
          <w:sz w:val="24"/>
          <w:szCs w:val="24"/>
        </w:rPr>
        <w:t xml:space="preserve">en Galicia, de manera novedosa </w:t>
      </w:r>
      <w:r w:rsidR="00676A9E">
        <w:rPr>
          <w:rFonts w:ascii="Times New Roman" w:hAnsi="Times New Roman" w:cs="Times New Roman"/>
          <w:sz w:val="24"/>
          <w:szCs w:val="24"/>
        </w:rPr>
        <w:t xml:space="preserve">se introduce por primera vez </w:t>
      </w:r>
      <w:r w:rsidR="00BD6789">
        <w:rPr>
          <w:rFonts w:ascii="Times New Roman" w:hAnsi="Times New Roman" w:cs="Times New Roman"/>
          <w:sz w:val="24"/>
          <w:szCs w:val="24"/>
        </w:rPr>
        <w:t>en su art. 17.3 “actuaciones de dotación” de su vigente Ley 2/2016.</w:t>
      </w:r>
    </w:p>
    <w:p w:rsidR="00BD6789" w:rsidRDefault="00BD6789" w:rsidP="00B22E1C">
      <w:pPr>
        <w:rPr>
          <w:rFonts w:ascii="Times New Roman" w:hAnsi="Times New Roman" w:cs="Times New Roman"/>
          <w:sz w:val="24"/>
          <w:szCs w:val="24"/>
        </w:rPr>
      </w:pPr>
      <w:r>
        <w:rPr>
          <w:rFonts w:ascii="Times New Roman" w:hAnsi="Times New Roman" w:cs="Times New Roman"/>
          <w:sz w:val="24"/>
          <w:szCs w:val="24"/>
        </w:rPr>
        <w:t xml:space="preserve">Observamos diferencias importantes en ambas legislaciones autonómicas en cuanto a la exigibilidad de mayores dotaciones en cambios de planeamiento, pues la </w:t>
      </w:r>
      <w:r w:rsidRPr="00F37C09">
        <w:rPr>
          <w:rFonts w:ascii="Times New Roman" w:hAnsi="Times New Roman" w:cs="Times New Roman"/>
          <w:sz w:val="24"/>
          <w:szCs w:val="24"/>
          <w:u w:val="single"/>
        </w:rPr>
        <w:t>Legislación Andaluza</w:t>
      </w:r>
      <w:r>
        <w:rPr>
          <w:rFonts w:ascii="Times New Roman" w:hAnsi="Times New Roman" w:cs="Times New Roman"/>
          <w:sz w:val="24"/>
          <w:szCs w:val="24"/>
        </w:rPr>
        <w:t xml:space="preserve"> las exigirá cuando el aprovechamiento objetivo del nuevo plan incremente el anterior </w:t>
      </w:r>
      <w:r w:rsidRPr="00F37C09">
        <w:rPr>
          <w:rFonts w:ascii="Times New Roman" w:hAnsi="Times New Roman" w:cs="Times New Roman"/>
          <w:sz w:val="24"/>
          <w:szCs w:val="24"/>
          <w:u w:val="single"/>
        </w:rPr>
        <w:t>en más del 10 por 100 del preexistente</w:t>
      </w:r>
      <w:r>
        <w:rPr>
          <w:rFonts w:ascii="Times New Roman" w:hAnsi="Times New Roman" w:cs="Times New Roman"/>
          <w:sz w:val="24"/>
          <w:szCs w:val="24"/>
        </w:rPr>
        <w:t xml:space="preserve"> y, sin embargo, la </w:t>
      </w:r>
      <w:r w:rsidRPr="00F37C09">
        <w:rPr>
          <w:rFonts w:ascii="Times New Roman" w:hAnsi="Times New Roman" w:cs="Times New Roman"/>
          <w:sz w:val="24"/>
          <w:szCs w:val="24"/>
          <w:u w:val="single"/>
        </w:rPr>
        <w:t>Legislación Gallega</w:t>
      </w:r>
      <w:r>
        <w:rPr>
          <w:rFonts w:ascii="Times New Roman" w:hAnsi="Times New Roman" w:cs="Times New Roman"/>
          <w:sz w:val="24"/>
          <w:szCs w:val="24"/>
        </w:rPr>
        <w:t xml:space="preserve"> considera que este aumento proporcional de dotaciones sólo será exigible cuando el incremento de edificabilidad respecto al preexistente </w:t>
      </w:r>
      <w:r w:rsidRPr="00F37C09">
        <w:rPr>
          <w:rFonts w:ascii="Times New Roman" w:hAnsi="Times New Roman" w:cs="Times New Roman"/>
          <w:sz w:val="24"/>
          <w:szCs w:val="24"/>
          <w:u w:val="single"/>
        </w:rPr>
        <w:t>supere el 30%.</w:t>
      </w:r>
      <w:r>
        <w:rPr>
          <w:rFonts w:ascii="Times New Roman" w:hAnsi="Times New Roman" w:cs="Times New Roman"/>
          <w:sz w:val="24"/>
          <w:szCs w:val="24"/>
        </w:rPr>
        <w:t xml:space="preserve"> Sólo lo dejo apuntado.</w:t>
      </w:r>
    </w:p>
    <w:p w:rsidR="006B2214" w:rsidRDefault="001F587C" w:rsidP="00B22E1C">
      <w:pPr>
        <w:rPr>
          <w:rFonts w:ascii="Times New Roman" w:hAnsi="Times New Roman" w:cs="Times New Roman"/>
          <w:sz w:val="24"/>
          <w:szCs w:val="24"/>
        </w:rPr>
      </w:pPr>
      <w:r>
        <w:rPr>
          <w:rFonts w:ascii="Times New Roman" w:hAnsi="Times New Roman" w:cs="Times New Roman"/>
          <w:sz w:val="24"/>
          <w:szCs w:val="24"/>
        </w:rPr>
        <w:t xml:space="preserve">Durante esta primera parte de la Exposición he querido dejar clarificada la legislación </w:t>
      </w:r>
      <w:r w:rsidR="006B2214">
        <w:rPr>
          <w:rFonts w:ascii="Times New Roman" w:hAnsi="Times New Roman" w:cs="Times New Roman"/>
          <w:sz w:val="24"/>
          <w:szCs w:val="24"/>
        </w:rPr>
        <w:t xml:space="preserve">y la Jurisprudencia del propio Tribunal Supremo </w:t>
      </w:r>
      <w:r>
        <w:rPr>
          <w:rFonts w:ascii="Times New Roman" w:hAnsi="Times New Roman" w:cs="Times New Roman"/>
          <w:sz w:val="24"/>
          <w:szCs w:val="24"/>
        </w:rPr>
        <w:t xml:space="preserve">actualmente existente en cuanto a priorizar las actuaciones de recualificación de suelos urbanos que, o bien carecen o bien no tienen dotaciones en la proporción que </w:t>
      </w:r>
      <w:r w:rsidR="006B2214">
        <w:rPr>
          <w:rFonts w:ascii="Times New Roman" w:hAnsi="Times New Roman" w:cs="Times New Roman"/>
          <w:sz w:val="24"/>
          <w:szCs w:val="24"/>
        </w:rPr>
        <w:t xml:space="preserve">les </w:t>
      </w:r>
      <w:r>
        <w:rPr>
          <w:rFonts w:ascii="Times New Roman" w:hAnsi="Times New Roman" w:cs="Times New Roman"/>
          <w:sz w:val="24"/>
          <w:szCs w:val="24"/>
        </w:rPr>
        <w:t xml:space="preserve">sería exigible, respecto a </w:t>
      </w:r>
      <w:r w:rsidR="006B2214">
        <w:rPr>
          <w:rFonts w:ascii="Times New Roman" w:hAnsi="Times New Roman" w:cs="Times New Roman"/>
          <w:sz w:val="24"/>
          <w:szCs w:val="24"/>
        </w:rPr>
        <w:t xml:space="preserve">anteriores </w:t>
      </w:r>
      <w:r>
        <w:rPr>
          <w:rFonts w:ascii="Times New Roman" w:hAnsi="Times New Roman" w:cs="Times New Roman"/>
          <w:sz w:val="24"/>
          <w:szCs w:val="24"/>
        </w:rPr>
        <w:t>criterios de expansión urbana y ocupación de suelo que se contenían en las legislaciones urbanísticas</w:t>
      </w:r>
      <w:r w:rsidR="006B2214">
        <w:rPr>
          <w:rFonts w:ascii="Times New Roman" w:hAnsi="Times New Roman" w:cs="Times New Roman"/>
          <w:sz w:val="24"/>
          <w:szCs w:val="24"/>
        </w:rPr>
        <w:t xml:space="preserve"> ya derogadas</w:t>
      </w:r>
      <w:r>
        <w:rPr>
          <w:rFonts w:ascii="Times New Roman" w:hAnsi="Times New Roman" w:cs="Times New Roman"/>
          <w:sz w:val="24"/>
          <w:szCs w:val="24"/>
        </w:rPr>
        <w:t xml:space="preserve">, </w:t>
      </w:r>
      <w:r w:rsidR="006B2214">
        <w:rPr>
          <w:rFonts w:ascii="Times New Roman" w:hAnsi="Times New Roman" w:cs="Times New Roman"/>
          <w:sz w:val="24"/>
          <w:szCs w:val="24"/>
        </w:rPr>
        <w:t xml:space="preserve">nos referimos, fundamentalmente a la </w:t>
      </w:r>
      <w:r>
        <w:rPr>
          <w:rFonts w:ascii="Times New Roman" w:hAnsi="Times New Roman" w:cs="Times New Roman"/>
          <w:sz w:val="24"/>
          <w:szCs w:val="24"/>
        </w:rPr>
        <w:t xml:space="preserve">Ley 6/1998, </w:t>
      </w:r>
      <w:r w:rsidR="006B2214">
        <w:rPr>
          <w:rFonts w:ascii="Times New Roman" w:hAnsi="Times New Roman" w:cs="Times New Roman"/>
          <w:sz w:val="24"/>
          <w:szCs w:val="24"/>
        </w:rPr>
        <w:t xml:space="preserve">de 13 de Abril, sobre régimen del suelo y valoraciones. </w:t>
      </w:r>
    </w:p>
    <w:p w:rsidR="003E5935" w:rsidRDefault="006B2214" w:rsidP="00B22E1C">
      <w:pPr>
        <w:rPr>
          <w:rFonts w:ascii="Times New Roman" w:hAnsi="Times New Roman" w:cs="Times New Roman"/>
          <w:sz w:val="24"/>
          <w:szCs w:val="24"/>
        </w:rPr>
      </w:pPr>
      <w:r>
        <w:rPr>
          <w:rFonts w:ascii="Times New Roman" w:hAnsi="Times New Roman" w:cs="Times New Roman"/>
          <w:sz w:val="24"/>
          <w:szCs w:val="24"/>
        </w:rPr>
        <w:t>D</w:t>
      </w:r>
      <w:r w:rsidR="003E5935">
        <w:rPr>
          <w:rFonts w:ascii="Times New Roman" w:hAnsi="Times New Roman" w:cs="Times New Roman"/>
          <w:sz w:val="24"/>
          <w:szCs w:val="24"/>
        </w:rPr>
        <w:t xml:space="preserve">ejo apuntada sólo la </w:t>
      </w:r>
      <w:r w:rsidR="003E5935" w:rsidRPr="006B2214">
        <w:rPr>
          <w:rFonts w:ascii="Times New Roman" w:hAnsi="Times New Roman" w:cs="Times New Roman"/>
          <w:sz w:val="24"/>
          <w:szCs w:val="24"/>
          <w:u w:val="single"/>
        </w:rPr>
        <w:t>cobertura legal</w:t>
      </w:r>
      <w:r w:rsidR="003E5935">
        <w:rPr>
          <w:rFonts w:ascii="Times New Roman" w:hAnsi="Times New Roman" w:cs="Times New Roman"/>
          <w:sz w:val="24"/>
          <w:szCs w:val="24"/>
        </w:rPr>
        <w:t xml:space="preserve"> que tanto en la legislación estatal como autonómica tendría el juez de lo contencioso-administrativo como </w:t>
      </w:r>
      <w:r w:rsidR="003E5935" w:rsidRPr="003E5935">
        <w:rPr>
          <w:rFonts w:ascii="Times New Roman" w:hAnsi="Times New Roman" w:cs="Times New Roman"/>
          <w:i/>
          <w:sz w:val="24"/>
          <w:szCs w:val="24"/>
        </w:rPr>
        <w:t>posibilidad</w:t>
      </w:r>
      <w:r w:rsidR="003E5935">
        <w:rPr>
          <w:rFonts w:ascii="Times New Roman" w:hAnsi="Times New Roman" w:cs="Times New Roman"/>
          <w:sz w:val="24"/>
          <w:szCs w:val="24"/>
        </w:rPr>
        <w:t xml:space="preserve"> de utilización en el incidente de ejecución para hacer cumplir una sentencia anulatoria de licencia, satisfaciendo las cargas urbanísticas en plazo y forma siempre bajo su control y tutela y hacer cumplir, con ello, la justa distribución de beneficios y cargas que en última sede es la finalidad del urbanismo. </w:t>
      </w:r>
    </w:p>
    <w:p w:rsidR="000D442D" w:rsidRDefault="000D442D" w:rsidP="00B22E1C">
      <w:pPr>
        <w:rPr>
          <w:rFonts w:ascii="Times New Roman" w:hAnsi="Times New Roman" w:cs="Times New Roman"/>
          <w:sz w:val="24"/>
          <w:szCs w:val="24"/>
        </w:rPr>
      </w:pPr>
    </w:p>
    <w:p w:rsidR="000D442D" w:rsidRDefault="000D442D" w:rsidP="00B22E1C">
      <w:pPr>
        <w:rPr>
          <w:rFonts w:ascii="Times New Roman" w:hAnsi="Times New Roman" w:cs="Times New Roman"/>
          <w:b/>
          <w:sz w:val="24"/>
          <w:szCs w:val="24"/>
        </w:rPr>
      </w:pPr>
      <w:r w:rsidRPr="000D442D">
        <w:rPr>
          <w:rFonts w:ascii="Times New Roman" w:hAnsi="Times New Roman" w:cs="Times New Roman"/>
          <w:b/>
          <w:sz w:val="24"/>
          <w:szCs w:val="24"/>
        </w:rPr>
        <w:t>2.</w:t>
      </w:r>
      <w:r w:rsidRPr="000D442D">
        <w:rPr>
          <w:rFonts w:ascii="Times New Roman" w:hAnsi="Times New Roman" w:cs="Times New Roman"/>
          <w:b/>
          <w:sz w:val="24"/>
          <w:szCs w:val="24"/>
        </w:rPr>
        <w:tab/>
        <w:t>La consecuencia jurisprudencialmente denominada “indefectible” de la declaración de nulidad de una licencia urbanística o de un título jurídico que ampare una actuación edificatoria, que no será otra que la demolición de lo construido a su amparo.</w:t>
      </w:r>
    </w:p>
    <w:p w:rsidR="00AC14EC" w:rsidRDefault="00D00470" w:rsidP="00D00470">
      <w:pPr>
        <w:rPr>
          <w:rFonts w:ascii="Times New Roman" w:hAnsi="Times New Roman" w:cs="Times New Roman"/>
          <w:sz w:val="24"/>
          <w:szCs w:val="24"/>
        </w:rPr>
      </w:pPr>
      <w:r w:rsidRPr="00D00470">
        <w:rPr>
          <w:rFonts w:ascii="Times New Roman" w:hAnsi="Times New Roman" w:cs="Times New Roman"/>
          <w:sz w:val="24"/>
          <w:szCs w:val="24"/>
        </w:rPr>
        <w:t>Partimos de una cuestión inicial</w:t>
      </w:r>
      <w:r w:rsidR="00AC14EC">
        <w:rPr>
          <w:rFonts w:ascii="Times New Roman" w:hAnsi="Times New Roman" w:cs="Times New Roman"/>
          <w:sz w:val="24"/>
          <w:szCs w:val="24"/>
        </w:rPr>
        <w:t>;</w:t>
      </w:r>
      <w:r w:rsidRPr="00D00470">
        <w:rPr>
          <w:rFonts w:ascii="Times New Roman" w:hAnsi="Times New Roman" w:cs="Times New Roman"/>
          <w:sz w:val="24"/>
          <w:szCs w:val="24"/>
        </w:rPr>
        <w:t xml:space="preserve"> ¿es posible regularizar una actuación urbanística </w:t>
      </w:r>
      <w:r w:rsidR="00AC14EC" w:rsidRPr="00D00470">
        <w:rPr>
          <w:rFonts w:ascii="Times New Roman" w:hAnsi="Times New Roman" w:cs="Times New Roman"/>
          <w:sz w:val="24"/>
          <w:szCs w:val="24"/>
        </w:rPr>
        <w:t>aun</w:t>
      </w:r>
      <w:r w:rsidRPr="00D00470">
        <w:rPr>
          <w:rFonts w:ascii="Times New Roman" w:hAnsi="Times New Roman" w:cs="Times New Roman"/>
          <w:sz w:val="24"/>
          <w:szCs w:val="24"/>
        </w:rPr>
        <w:t xml:space="preserve"> cuando exista sentencia firme </w:t>
      </w:r>
      <w:r w:rsidR="00AC14EC">
        <w:rPr>
          <w:rFonts w:ascii="Times New Roman" w:hAnsi="Times New Roman" w:cs="Times New Roman"/>
          <w:sz w:val="24"/>
          <w:szCs w:val="24"/>
        </w:rPr>
        <w:t>declarando nula la licencia o el título jurídico que permitió dicha actuación</w:t>
      </w:r>
      <w:r w:rsidRPr="00D00470">
        <w:rPr>
          <w:rFonts w:ascii="Times New Roman" w:hAnsi="Times New Roman" w:cs="Times New Roman"/>
          <w:sz w:val="24"/>
          <w:szCs w:val="24"/>
        </w:rPr>
        <w:t>? De comienzo podríamos citar el artículo 103 de la L</w:t>
      </w:r>
      <w:r w:rsidR="008220BC">
        <w:rPr>
          <w:rFonts w:ascii="Times New Roman" w:hAnsi="Times New Roman" w:cs="Times New Roman"/>
          <w:sz w:val="24"/>
          <w:szCs w:val="24"/>
        </w:rPr>
        <w:t>JCA/1998</w:t>
      </w:r>
      <w:r w:rsidRPr="00D00470">
        <w:rPr>
          <w:rFonts w:ascii="Times New Roman" w:hAnsi="Times New Roman" w:cs="Times New Roman"/>
          <w:sz w:val="24"/>
          <w:szCs w:val="24"/>
        </w:rPr>
        <w:t xml:space="preserve"> y cerrar el asunto</w:t>
      </w:r>
      <w:r w:rsidR="00AC14EC">
        <w:rPr>
          <w:rFonts w:ascii="Times New Roman" w:hAnsi="Times New Roman" w:cs="Times New Roman"/>
          <w:sz w:val="24"/>
          <w:szCs w:val="24"/>
        </w:rPr>
        <w:t xml:space="preserve"> en negativo</w:t>
      </w:r>
      <w:r w:rsidRPr="00D00470">
        <w:rPr>
          <w:rFonts w:ascii="Times New Roman" w:hAnsi="Times New Roman" w:cs="Times New Roman"/>
          <w:sz w:val="24"/>
          <w:szCs w:val="24"/>
        </w:rPr>
        <w:t xml:space="preserve">. </w:t>
      </w:r>
    </w:p>
    <w:p w:rsidR="00D00470" w:rsidRPr="00D00470" w:rsidRDefault="00D00470" w:rsidP="00D00470">
      <w:pPr>
        <w:rPr>
          <w:rFonts w:ascii="Times New Roman" w:hAnsi="Times New Roman" w:cs="Times New Roman"/>
          <w:sz w:val="24"/>
          <w:szCs w:val="24"/>
        </w:rPr>
      </w:pPr>
      <w:r w:rsidRPr="00D00470">
        <w:rPr>
          <w:rFonts w:ascii="Times New Roman" w:hAnsi="Times New Roman" w:cs="Times New Roman"/>
          <w:sz w:val="24"/>
          <w:szCs w:val="24"/>
        </w:rPr>
        <w:lastRenderedPageBreak/>
        <w:t>Este artículo, a resaltar el apartado 4, recoge:</w:t>
      </w:r>
    </w:p>
    <w:p w:rsidR="00D00470" w:rsidRPr="00D00470" w:rsidRDefault="00D00470" w:rsidP="00D00470">
      <w:pPr>
        <w:rPr>
          <w:rFonts w:ascii="Times New Roman" w:hAnsi="Times New Roman" w:cs="Times New Roman"/>
          <w:sz w:val="24"/>
          <w:szCs w:val="24"/>
        </w:rPr>
      </w:pPr>
      <w:r w:rsidRPr="00D00470">
        <w:rPr>
          <w:rFonts w:ascii="Times New Roman" w:hAnsi="Times New Roman" w:cs="Times New Roman"/>
          <w:sz w:val="24"/>
          <w:szCs w:val="24"/>
        </w:rPr>
        <w:t xml:space="preserve"> “Artículo 103</w:t>
      </w:r>
    </w:p>
    <w:p w:rsidR="00D00470" w:rsidRPr="00D00470" w:rsidRDefault="00D00470" w:rsidP="00D00470">
      <w:pPr>
        <w:rPr>
          <w:rFonts w:ascii="Times New Roman" w:hAnsi="Times New Roman" w:cs="Times New Roman"/>
          <w:sz w:val="24"/>
          <w:szCs w:val="24"/>
        </w:rPr>
      </w:pPr>
      <w:r w:rsidRPr="00D00470">
        <w:rPr>
          <w:rFonts w:ascii="Times New Roman" w:hAnsi="Times New Roman" w:cs="Times New Roman"/>
          <w:sz w:val="24"/>
          <w:szCs w:val="24"/>
        </w:rPr>
        <w:t xml:space="preserve"> 1. La potestad de hacer ejecutar las sentencias y demás resoluciones judiciales corresponde exclusivamente a los Juzgados y Tribunales de este orden jurisdiccional, y su ejercicio compete al que haya conocido del asunto en primera o única instancia.</w:t>
      </w:r>
    </w:p>
    <w:p w:rsidR="00D00470" w:rsidRPr="00D00470" w:rsidRDefault="00D00470" w:rsidP="00D00470">
      <w:pPr>
        <w:rPr>
          <w:rFonts w:ascii="Times New Roman" w:hAnsi="Times New Roman" w:cs="Times New Roman"/>
          <w:sz w:val="24"/>
          <w:szCs w:val="24"/>
        </w:rPr>
      </w:pPr>
      <w:r w:rsidRPr="00D00470">
        <w:rPr>
          <w:rFonts w:ascii="Times New Roman" w:hAnsi="Times New Roman" w:cs="Times New Roman"/>
          <w:sz w:val="24"/>
          <w:szCs w:val="24"/>
        </w:rPr>
        <w:t xml:space="preserve"> 2. Las partes están obligadas a cumplir las sentencias en la forma y términos que en éstas se consignen.</w:t>
      </w:r>
    </w:p>
    <w:p w:rsidR="00D00470" w:rsidRPr="00D00470" w:rsidRDefault="00D00470" w:rsidP="00D00470">
      <w:pPr>
        <w:rPr>
          <w:rFonts w:ascii="Times New Roman" w:hAnsi="Times New Roman" w:cs="Times New Roman"/>
          <w:sz w:val="24"/>
          <w:szCs w:val="24"/>
        </w:rPr>
      </w:pPr>
      <w:r w:rsidRPr="00D00470">
        <w:rPr>
          <w:rFonts w:ascii="Times New Roman" w:hAnsi="Times New Roman" w:cs="Times New Roman"/>
          <w:sz w:val="24"/>
          <w:szCs w:val="24"/>
        </w:rPr>
        <w:t xml:space="preserve"> 3. Todas las personas y entidades públicas y privadas están obligadas a prestar la colaboración requerida por los Jueces y Tribunales de lo Contencioso-administrativo para la debida y completa ejecución de lo resuelto.</w:t>
      </w:r>
    </w:p>
    <w:p w:rsidR="00D00470" w:rsidRPr="00587C29" w:rsidRDefault="00D00470" w:rsidP="00D00470">
      <w:pPr>
        <w:rPr>
          <w:rFonts w:ascii="Times New Roman" w:hAnsi="Times New Roman" w:cs="Times New Roman"/>
          <w:sz w:val="24"/>
          <w:szCs w:val="24"/>
          <w:u w:val="single"/>
        </w:rPr>
      </w:pPr>
      <w:r w:rsidRPr="00D00470">
        <w:rPr>
          <w:rFonts w:ascii="Times New Roman" w:hAnsi="Times New Roman" w:cs="Times New Roman"/>
          <w:sz w:val="24"/>
          <w:szCs w:val="24"/>
        </w:rPr>
        <w:t xml:space="preserve"> 4. </w:t>
      </w:r>
      <w:r w:rsidRPr="00587C29">
        <w:rPr>
          <w:rFonts w:ascii="Times New Roman" w:hAnsi="Times New Roman" w:cs="Times New Roman"/>
          <w:sz w:val="24"/>
          <w:szCs w:val="24"/>
          <w:u w:val="single"/>
        </w:rPr>
        <w:t>Serán nulos de pleno derecho los actos y disposiciones contrarios a los pronunciamientos de las sentencias, que se dicten con la finalidad de eludir su cumplimiento.</w:t>
      </w:r>
    </w:p>
    <w:p w:rsidR="00D00470" w:rsidRPr="00D00470" w:rsidRDefault="00D00470" w:rsidP="00D00470">
      <w:pPr>
        <w:rPr>
          <w:rFonts w:ascii="Times New Roman" w:hAnsi="Times New Roman" w:cs="Times New Roman"/>
          <w:sz w:val="24"/>
          <w:szCs w:val="24"/>
        </w:rPr>
      </w:pPr>
      <w:r w:rsidRPr="00D00470">
        <w:rPr>
          <w:rFonts w:ascii="Times New Roman" w:hAnsi="Times New Roman" w:cs="Times New Roman"/>
          <w:sz w:val="24"/>
          <w:szCs w:val="24"/>
        </w:rPr>
        <w:t xml:space="preserve"> 5. El órgano jurisdiccional a quien corresponda la ejecución de la sentencia declarará, a instancia de parte, la nulidad de los actos y disposiciones a que se refiere el apartado anterior, por los trámites previstos en los apartados 2 y 3 del artículo 109, salvo que careciese de competencia para ello conforme a lo dispuesto en esta Ley.”</w:t>
      </w:r>
    </w:p>
    <w:p w:rsidR="00D00470" w:rsidRDefault="00D00470" w:rsidP="00D00470">
      <w:pPr>
        <w:rPr>
          <w:rFonts w:ascii="Times New Roman" w:hAnsi="Times New Roman" w:cs="Times New Roman"/>
          <w:sz w:val="24"/>
          <w:szCs w:val="24"/>
        </w:rPr>
      </w:pPr>
      <w:r>
        <w:rPr>
          <w:rFonts w:ascii="Times New Roman" w:hAnsi="Times New Roman" w:cs="Times New Roman"/>
          <w:sz w:val="24"/>
          <w:szCs w:val="24"/>
        </w:rPr>
        <w:t xml:space="preserve"> </w:t>
      </w:r>
      <w:r w:rsidRPr="00D00470">
        <w:rPr>
          <w:rFonts w:ascii="Times New Roman" w:hAnsi="Times New Roman" w:cs="Times New Roman"/>
          <w:sz w:val="24"/>
          <w:szCs w:val="24"/>
        </w:rPr>
        <w:t xml:space="preserve">Pero la cuestión no es tan simple, pues no podemos olvidar que aún a pesar de la obligación general de personas y entidades públicas de prestar la colaboración requerida por Jueces y Tribunales para que estos puedan hacer ejecutar lo juzgado, la potestad municipal de ordenar urbanísticamente un territorio, e incluso de variar lo ordenado, </w:t>
      </w:r>
      <w:r w:rsidR="00587C29">
        <w:rPr>
          <w:rFonts w:ascii="Times New Roman" w:hAnsi="Times New Roman" w:cs="Times New Roman"/>
          <w:sz w:val="24"/>
          <w:szCs w:val="24"/>
        </w:rPr>
        <w:t>“</w:t>
      </w:r>
      <w:proofErr w:type="spellStart"/>
      <w:r w:rsidR="00587C29">
        <w:rPr>
          <w:rFonts w:ascii="Times New Roman" w:hAnsi="Times New Roman" w:cs="Times New Roman"/>
          <w:sz w:val="24"/>
          <w:szCs w:val="24"/>
        </w:rPr>
        <w:t>ius</w:t>
      </w:r>
      <w:proofErr w:type="spellEnd"/>
      <w:r w:rsidR="00587C29">
        <w:rPr>
          <w:rFonts w:ascii="Times New Roman" w:hAnsi="Times New Roman" w:cs="Times New Roman"/>
          <w:sz w:val="24"/>
          <w:szCs w:val="24"/>
        </w:rPr>
        <w:t xml:space="preserve"> </w:t>
      </w:r>
      <w:proofErr w:type="spellStart"/>
      <w:r w:rsidR="00587C29">
        <w:rPr>
          <w:rFonts w:ascii="Times New Roman" w:hAnsi="Times New Roman" w:cs="Times New Roman"/>
          <w:sz w:val="24"/>
          <w:szCs w:val="24"/>
        </w:rPr>
        <w:t>variandi</w:t>
      </w:r>
      <w:proofErr w:type="spellEnd"/>
      <w:r w:rsidR="00587C29">
        <w:rPr>
          <w:rFonts w:ascii="Times New Roman" w:hAnsi="Times New Roman" w:cs="Times New Roman"/>
          <w:sz w:val="24"/>
          <w:szCs w:val="24"/>
        </w:rPr>
        <w:t xml:space="preserve">”, </w:t>
      </w:r>
      <w:r w:rsidRPr="00D00470">
        <w:rPr>
          <w:rFonts w:ascii="Times New Roman" w:hAnsi="Times New Roman" w:cs="Times New Roman"/>
          <w:sz w:val="24"/>
          <w:szCs w:val="24"/>
        </w:rPr>
        <w:t>dicha potestad, no queda en modo alguno suspendida o retirada del ámb</w:t>
      </w:r>
      <w:r w:rsidR="00587C29">
        <w:rPr>
          <w:rFonts w:ascii="Times New Roman" w:hAnsi="Times New Roman" w:cs="Times New Roman"/>
          <w:sz w:val="24"/>
          <w:szCs w:val="24"/>
        </w:rPr>
        <w:t>ito de la autonomía municipal por el hecho de la existencia de una sentencia judicial firme.</w:t>
      </w:r>
    </w:p>
    <w:p w:rsidR="00370116" w:rsidRPr="00370116" w:rsidRDefault="00370116" w:rsidP="00370116">
      <w:pPr>
        <w:rPr>
          <w:rFonts w:ascii="Times New Roman" w:hAnsi="Times New Roman" w:cs="Times New Roman"/>
          <w:sz w:val="24"/>
          <w:szCs w:val="24"/>
        </w:rPr>
      </w:pPr>
      <w:r w:rsidRPr="00370116">
        <w:rPr>
          <w:rFonts w:ascii="Times New Roman" w:hAnsi="Times New Roman" w:cs="Times New Roman"/>
          <w:sz w:val="24"/>
          <w:szCs w:val="24"/>
        </w:rPr>
        <w:t xml:space="preserve">Partimos del dato básico de que la imperiosa obligación de cumplir las sentencias constituye una manifestación del derecho a la tutela judicial efectiva consagrado en el art. 24 CE, lo que determina a priori que este derecho tiene como presupuesto constitucional la intangibilidad de las resoluciones judiciales firmes y de las situaciones jurídicas por ellas declaradas. En  este sentido, es ilustrativa la </w:t>
      </w:r>
      <w:r w:rsidRPr="00587C29">
        <w:rPr>
          <w:rFonts w:ascii="Times New Roman" w:hAnsi="Times New Roman" w:cs="Times New Roman"/>
          <w:sz w:val="24"/>
          <w:szCs w:val="24"/>
          <w:u w:val="single"/>
        </w:rPr>
        <w:t>Exposición de Motivos de la LJCA</w:t>
      </w:r>
      <w:r w:rsidRPr="00370116">
        <w:rPr>
          <w:rFonts w:ascii="Times New Roman" w:hAnsi="Times New Roman" w:cs="Times New Roman"/>
          <w:sz w:val="24"/>
          <w:szCs w:val="24"/>
        </w:rPr>
        <w:t>:</w:t>
      </w:r>
    </w:p>
    <w:p w:rsidR="00370116" w:rsidRPr="00370116" w:rsidRDefault="00370116" w:rsidP="00370116">
      <w:pPr>
        <w:rPr>
          <w:rFonts w:ascii="Times New Roman" w:hAnsi="Times New Roman" w:cs="Times New Roman"/>
          <w:i/>
          <w:sz w:val="24"/>
          <w:szCs w:val="24"/>
        </w:rPr>
      </w:pPr>
      <w:r w:rsidRPr="00370116">
        <w:rPr>
          <w:rFonts w:ascii="Times New Roman" w:hAnsi="Times New Roman" w:cs="Times New Roman"/>
          <w:i/>
          <w:sz w:val="24"/>
          <w:szCs w:val="24"/>
        </w:rPr>
        <w:t>“El punto de partida reside en la imperiosa obligación de cumplir las resoluciones judiciales y colaborar en la ejecución de lo resuelto, que la Constitución prescribe, y en la potestad de los órganos judiciales de hacer ejecutar lo juzgado, que la propia Constitución les atribuye. Prescripciones que entroncan directamente con el derecho a la tutela judicial efectiva, (...). La negativa, expresa o implícita, a cumplir una resolución judicial constituye un atentado a la Constitución frente al que no caben excusas”.</w:t>
      </w:r>
    </w:p>
    <w:p w:rsidR="00370116" w:rsidRPr="00370116" w:rsidRDefault="00370116" w:rsidP="00370116">
      <w:pPr>
        <w:rPr>
          <w:rFonts w:ascii="Times New Roman" w:hAnsi="Times New Roman" w:cs="Times New Roman"/>
          <w:sz w:val="24"/>
          <w:szCs w:val="24"/>
        </w:rPr>
      </w:pPr>
      <w:r w:rsidRPr="00370116">
        <w:rPr>
          <w:rFonts w:ascii="Times New Roman" w:hAnsi="Times New Roman" w:cs="Times New Roman"/>
          <w:sz w:val="24"/>
          <w:szCs w:val="24"/>
        </w:rPr>
        <w:t xml:space="preserve">Sobre este particular, es reseñable que el art. 117 de la Constitución, así como los arts. 2.1 </w:t>
      </w:r>
      <w:proofErr w:type="gramStart"/>
      <w:r w:rsidRPr="00370116">
        <w:rPr>
          <w:rFonts w:ascii="Times New Roman" w:hAnsi="Times New Roman" w:cs="Times New Roman"/>
          <w:sz w:val="24"/>
          <w:szCs w:val="24"/>
        </w:rPr>
        <w:t>de</w:t>
      </w:r>
      <w:proofErr w:type="gramEnd"/>
      <w:r w:rsidRPr="00370116">
        <w:rPr>
          <w:rFonts w:ascii="Times New Roman" w:hAnsi="Times New Roman" w:cs="Times New Roman"/>
          <w:sz w:val="24"/>
          <w:szCs w:val="24"/>
        </w:rPr>
        <w:t xml:space="preserve"> la Ley Orgánica 6/1985, de 1 de julio, del Poder Judicial, y 103 LJCA, consagran la plena judicialización que ha de presidir la ejecución de las sentencias, de manera que no es sólo que los Jueces y Tribunales deben ejecutar sus resoluciones, sino que es la Administración condenada la </w:t>
      </w:r>
      <w:r w:rsidRPr="00370116">
        <w:rPr>
          <w:rFonts w:ascii="Times New Roman" w:hAnsi="Times New Roman" w:cs="Times New Roman"/>
          <w:sz w:val="24"/>
          <w:szCs w:val="24"/>
        </w:rPr>
        <w:lastRenderedPageBreak/>
        <w:t xml:space="preserve">que ha de cumplir voluntariamente el fallo y, en caso de incumplimiento, pueden los órganos judiciales emplear medios coactivos para conseguir la ejecución de lo resuelto. </w:t>
      </w:r>
    </w:p>
    <w:p w:rsidR="00370116" w:rsidRDefault="00370116" w:rsidP="00370116">
      <w:pPr>
        <w:rPr>
          <w:rFonts w:ascii="Times New Roman" w:hAnsi="Times New Roman" w:cs="Times New Roman"/>
          <w:sz w:val="24"/>
          <w:szCs w:val="24"/>
        </w:rPr>
      </w:pPr>
      <w:r>
        <w:rPr>
          <w:rFonts w:ascii="Times New Roman" w:hAnsi="Times New Roman" w:cs="Times New Roman"/>
          <w:sz w:val="24"/>
          <w:szCs w:val="24"/>
        </w:rPr>
        <w:t>Y</w:t>
      </w:r>
      <w:r w:rsidRPr="00370116">
        <w:rPr>
          <w:rFonts w:ascii="Times New Roman" w:hAnsi="Times New Roman" w:cs="Times New Roman"/>
          <w:sz w:val="24"/>
          <w:szCs w:val="24"/>
        </w:rPr>
        <w:t xml:space="preserve"> no perdamos de vista, que </w:t>
      </w:r>
      <w:r w:rsidRPr="00587C29">
        <w:rPr>
          <w:rFonts w:ascii="Times New Roman" w:hAnsi="Times New Roman" w:cs="Times New Roman"/>
          <w:sz w:val="24"/>
          <w:szCs w:val="24"/>
          <w:u w:val="single"/>
        </w:rPr>
        <w:t>la consecuencia natural de la nulidad de las licencias es la demolición de lo construido a su amparo</w:t>
      </w:r>
      <w:r w:rsidRPr="00370116">
        <w:rPr>
          <w:rFonts w:ascii="Times New Roman" w:hAnsi="Times New Roman" w:cs="Times New Roman"/>
          <w:sz w:val="24"/>
          <w:szCs w:val="24"/>
        </w:rPr>
        <w:t xml:space="preserve"> como medida precisa y adecuada para la restauración</w:t>
      </w:r>
      <w:r>
        <w:rPr>
          <w:rFonts w:ascii="Times New Roman" w:hAnsi="Times New Roman" w:cs="Times New Roman"/>
          <w:sz w:val="24"/>
          <w:szCs w:val="24"/>
        </w:rPr>
        <w:t xml:space="preserve"> del orden jurídico vulnerado, demolición que se considera como “</w:t>
      </w:r>
      <w:r w:rsidRPr="00370116">
        <w:rPr>
          <w:rFonts w:ascii="Times New Roman" w:hAnsi="Times New Roman" w:cs="Times New Roman"/>
          <w:i/>
          <w:sz w:val="24"/>
          <w:szCs w:val="24"/>
        </w:rPr>
        <w:t>consecuencia indefectible</w:t>
      </w:r>
      <w:r>
        <w:rPr>
          <w:rFonts w:ascii="Times New Roman" w:hAnsi="Times New Roman" w:cs="Times New Roman"/>
          <w:sz w:val="24"/>
          <w:szCs w:val="24"/>
        </w:rPr>
        <w:t xml:space="preserve">” de la declaración de nulidad del título, aunque ésta no hubiera sido pedida en la inicial pretensión anulatoria.  Así se afirma, entre otras, en las </w:t>
      </w:r>
      <w:r w:rsidRPr="00370116">
        <w:rPr>
          <w:rFonts w:ascii="Times New Roman" w:hAnsi="Times New Roman" w:cs="Times New Roman"/>
          <w:sz w:val="24"/>
          <w:szCs w:val="24"/>
        </w:rPr>
        <w:t>SSTS de 16 de mayo de 2002 (RJ 2002/4182),  28 de marzo de 2006 (RJ 2006/3255), 4 de julio de 2006 (RJ 2006/5990), y 17 de noviembre de 2010 (RJ 2011/1).</w:t>
      </w:r>
    </w:p>
    <w:p w:rsidR="00370116" w:rsidRPr="00370116" w:rsidRDefault="00370116" w:rsidP="00370116">
      <w:pPr>
        <w:rPr>
          <w:rFonts w:ascii="Times New Roman" w:hAnsi="Times New Roman" w:cs="Times New Roman"/>
          <w:sz w:val="24"/>
          <w:szCs w:val="24"/>
        </w:rPr>
      </w:pPr>
      <w:r w:rsidRPr="00370116">
        <w:rPr>
          <w:rFonts w:ascii="Times New Roman" w:hAnsi="Times New Roman" w:cs="Times New Roman"/>
          <w:sz w:val="24"/>
          <w:szCs w:val="24"/>
        </w:rPr>
        <w:t xml:space="preserve">Así las cosas, desde la perspectiva del derecho a la tutela judicial efectiva no resulta aceptable pretender privar en un momento posterior de efecto, los pronunciamientos judiciales ya emitidos. No obstante, es admisible este proceder únicamente cuando concurren elementos que impiden física o jurídicamente su ejecución o que la dificulten por concurrir circunstancias sobrevenidas impeditivas (por todas, la STC 285/2006, de 9 de octubre). </w:t>
      </w:r>
      <w:r>
        <w:rPr>
          <w:rFonts w:ascii="Times New Roman" w:hAnsi="Times New Roman" w:cs="Times New Roman"/>
          <w:sz w:val="24"/>
          <w:szCs w:val="24"/>
        </w:rPr>
        <w:t>Así, h</w:t>
      </w:r>
      <w:r w:rsidRPr="00370116">
        <w:rPr>
          <w:rFonts w:ascii="Times New Roman" w:hAnsi="Times New Roman" w:cs="Times New Roman"/>
          <w:sz w:val="24"/>
          <w:szCs w:val="24"/>
        </w:rPr>
        <w:t xml:space="preserve">a sido el propio legislador, en el art. 105.2 LJCA, el que ha previsto mecanismos para atender a los supuestos de imposibilidad legal  o material de cumplimiento de las resoluciones judiciales en sus propios términos. </w:t>
      </w:r>
    </w:p>
    <w:p w:rsidR="00004AB7" w:rsidRDefault="00370116" w:rsidP="00370116">
      <w:pPr>
        <w:rPr>
          <w:rFonts w:ascii="Times New Roman" w:hAnsi="Times New Roman" w:cs="Times New Roman"/>
          <w:sz w:val="24"/>
          <w:szCs w:val="24"/>
        </w:rPr>
      </w:pPr>
      <w:r w:rsidRPr="00370116">
        <w:rPr>
          <w:rFonts w:ascii="Times New Roman" w:hAnsi="Times New Roman" w:cs="Times New Roman"/>
          <w:sz w:val="24"/>
          <w:szCs w:val="24"/>
        </w:rPr>
        <w:t xml:space="preserve">A pesar de tan contundente afirmación, la práctica urbanística revela numerosos ejemplos de inejecución de resoluciones judiciales firmes como consecuencia de posteriores innovaciones de planeamiento urbanístico cuyo único propósito es encontrar acomodo a situaciones ilegales reconocidas como tales judicialmente, </w:t>
      </w:r>
      <w:r w:rsidR="00004AB7">
        <w:rPr>
          <w:rFonts w:ascii="Times New Roman" w:hAnsi="Times New Roman" w:cs="Times New Roman"/>
          <w:sz w:val="24"/>
          <w:szCs w:val="24"/>
        </w:rPr>
        <w:t xml:space="preserve">pues no podemos olvidar que, en la práctica, la alteración sobrevenida del planeamiento aplicable fruto de una modificación “ex proceso” supone el supuesto más frecuente de invocación del supuesto de imposibilidad legal de ejecutar una sentencia firme anulatoria de una licencia urbanística. </w:t>
      </w:r>
    </w:p>
    <w:p w:rsidR="00004AB7" w:rsidRDefault="00004AB7" w:rsidP="00370116">
      <w:pPr>
        <w:rPr>
          <w:rFonts w:ascii="Times New Roman" w:hAnsi="Times New Roman" w:cs="Times New Roman"/>
          <w:sz w:val="24"/>
          <w:szCs w:val="24"/>
        </w:rPr>
      </w:pPr>
      <w:r>
        <w:rPr>
          <w:rFonts w:ascii="Times New Roman" w:hAnsi="Times New Roman" w:cs="Times New Roman"/>
          <w:sz w:val="24"/>
          <w:szCs w:val="24"/>
        </w:rPr>
        <w:t xml:space="preserve">Sobre este particular, hay mucho escrito, es </w:t>
      </w:r>
      <w:r w:rsidR="00AC14EC">
        <w:rPr>
          <w:rFonts w:ascii="Times New Roman" w:hAnsi="Times New Roman" w:cs="Times New Roman"/>
          <w:sz w:val="24"/>
          <w:szCs w:val="24"/>
        </w:rPr>
        <w:t>más</w:t>
      </w:r>
      <w:r>
        <w:rPr>
          <w:rFonts w:ascii="Times New Roman" w:hAnsi="Times New Roman" w:cs="Times New Roman"/>
          <w:sz w:val="24"/>
          <w:szCs w:val="24"/>
        </w:rPr>
        <w:t xml:space="preserve">, es el casuismo el que con mayor fuerza se nos presenta, pero vamos si quiera a esbozar la experiencia recogida de la Jurisprudencia de aquellas modificaciones de planeamiento cuyo único y exclusivo objeto ha sido eludir el cumplimiento de una sentencia judicial anulatoria. </w:t>
      </w:r>
    </w:p>
    <w:p w:rsidR="00DF4D59" w:rsidRDefault="00DF4D59" w:rsidP="00370116">
      <w:pPr>
        <w:rPr>
          <w:rFonts w:ascii="Times New Roman" w:hAnsi="Times New Roman" w:cs="Times New Roman"/>
          <w:sz w:val="24"/>
          <w:szCs w:val="24"/>
        </w:rPr>
      </w:pPr>
    </w:p>
    <w:p w:rsidR="00004AB7" w:rsidRPr="00004AB7" w:rsidRDefault="00004AB7" w:rsidP="00370116">
      <w:pPr>
        <w:rPr>
          <w:rFonts w:ascii="Times New Roman" w:hAnsi="Times New Roman" w:cs="Times New Roman"/>
          <w:b/>
          <w:sz w:val="24"/>
          <w:szCs w:val="24"/>
        </w:rPr>
      </w:pPr>
      <w:r w:rsidRPr="00004AB7">
        <w:rPr>
          <w:rFonts w:ascii="Times New Roman" w:hAnsi="Times New Roman" w:cs="Times New Roman"/>
          <w:b/>
          <w:sz w:val="24"/>
          <w:szCs w:val="24"/>
        </w:rPr>
        <w:t>3.</w:t>
      </w:r>
      <w:r w:rsidRPr="00004AB7">
        <w:rPr>
          <w:rFonts w:ascii="Times New Roman" w:hAnsi="Times New Roman" w:cs="Times New Roman"/>
          <w:b/>
          <w:sz w:val="24"/>
          <w:szCs w:val="24"/>
        </w:rPr>
        <w:tab/>
        <w:t>La existencia de un nuevo instrumento de planeamiento que pueda servir como elemento objetivo para que el Juez encargado de “hacer cumplir” la sentencia, considere que concurren los elementos necesarios para que la misma pueda cumplirse por equivalencia</w:t>
      </w:r>
      <w:r w:rsidR="00607E3F">
        <w:rPr>
          <w:rFonts w:ascii="Times New Roman" w:hAnsi="Times New Roman" w:cs="Times New Roman"/>
          <w:b/>
          <w:sz w:val="24"/>
          <w:szCs w:val="24"/>
        </w:rPr>
        <w:t>.</w:t>
      </w:r>
    </w:p>
    <w:p w:rsidR="00370116" w:rsidRDefault="00004AB7" w:rsidP="00370116">
      <w:pPr>
        <w:rPr>
          <w:rFonts w:ascii="Times New Roman" w:hAnsi="Times New Roman" w:cs="Times New Roman"/>
          <w:sz w:val="24"/>
          <w:szCs w:val="24"/>
        </w:rPr>
      </w:pPr>
      <w:r>
        <w:rPr>
          <w:rFonts w:ascii="Times New Roman" w:hAnsi="Times New Roman" w:cs="Times New Roman"/>
          <w:sz w:val="24"/>
          <w:szCs w:val="24"/>
        </w:rPr>
        <w:t>Tenemos clara la regla general, que no es otra que</w:t>
      </w:r>
      <w:r w:rsidRPr="00004AB7">
        <w:rPr>
          <w:rFonts w:ascii="Times New Roman" w:hAnsi="Times New Roman" w:cs="Times New Roman"/>
          <w:sz w:val="24"/>
          <w:szCs w:val="24"/>
        </w:rPr>
        <w:t>, una vez firme la sentencia, a su ejecución solo puede oponerse un cambio del marco jurídico de referencia</w:t>
      </w:r>
      <w:r>
        <w:rPr>
          <w:rFonts w:ascii="Times New Roman" w:hAnsi="Times New Roman" w:cs="Times New Roman"/>
          <w:sz w:val="24"/>
          <w:szCs w:val="24"/>
        </w:rPr>
        <w:t xml:space="preserve">, marco jurídico que puede venir de la entrada en vigor de un nuevo instrumento de planeamiento general o </w:t>
      </w:r>
      <w:r w:rsidR="00607E3F">
        <w:rPr>
          <w:rFonts w:ascii="Times New Roman" w:hAnsi="Times New Roman" w:cs="Times New Roman"/>
          <w:sz w:val="24"/>
          <w:szCs w:val="24"/>
        </w:rPr>
        <w:t xml:space="preserve">de una innovación del anterior, por cuanto ambos participan del carácter normativo de auténticas disposiciones generales. </w:t>
      </w:r>
    </w:p>
    <w:p w:rsidR="00607E3F" w:rsidRPr="00607E3F" w:rsidRDefault="00607E3F" w:rsidP="00607E3F">
      <w:pPr>
        <w:rPr>
          <w:rFonts w:ascii="Times New Roman" w:hAnsi="Times New Roman" w:cs="Times New Roman"/>
          <w:sz w:val="24"/>
          <w:szCs w:val="24"/>
        </w:rPr>
      </w:pPr>
      <w:proofErr w:type="spellStart"/>
      <w:r>
        <w:rPr>
          <w:rFonts w:ascii="Times New Roman" w:hAnsi="Times New Roman" w:cs="Times New Roman"/>
          <w:sz w:val="24"/>
          <w:szCs w:val="24"/>
        </w:rPr>
        <w:t>Asi</w:t>
      </w:r>
      <w:proofErr w:type="spellEnd"/>
      <w:r>
        <w:rPr>
          <w:rFonts w:ascii="Times New Roman" w:hAnsi="Times New Roman" w:cs="Times New Roman"/>
          <w:sz w:val="24"/>
          <w:szCs w:val="24"/>
        </w:rPr>
        <w:t xml:space="preserve"> lo mantiene el Tribunal Supremo en su Sentencia </w:t>
      </w:r>
      <w:r w:rsidRPr="00607E3F">
        <w:rPr>
          <w:rFonts w:ascii="Times New Roman" w:hAnsi="Times New Roman" w:cs="Times New Roman"/>
          <w:sz w:val="24"/>
          <w:szCs w:val="24"/>
        </w:rPr>
        <w:t xml:space="preserve">de 5 de Abril de 2013, </w:t>
      </w:r>
      <w:r>
        <w:rPr>
          <w:rFonts w:ascii="Times New Roman" w:hAnsi="Times New Roman" w:cs="Times New Roman"/>
          <w:sz w:val="24"/>
          <w:szCs w:val="24"/>
        </w:rPr>
        <w:t>(</w:t>
      </w:r>
      <w:r w:rsidRPr="00607E3F">
        <w:rPr>
          <w:rFonts w:ascii="Times New Roman" w:hAnsi="Times New Roman" w:cs="Times New Roman"/>
          <w:sz w:val="24"/>
          <w:szCs w:val="24"/>
        </w:rPr>
        <w:t>EDJ 2013/43488)</w:t>
      </w:r>
      <w:r>
        <w:rPr>
          <w:rFonts w:ascii="Times New Roman" w:hAnsi="Times New Roman" w:cs="Times New Roman"/>
          <w:sz w:val="24"/>
          <w:szCs w:val="24"/>
        </w:rPr>
        <w:t xml:space="preserve"> en cuyo fundamento jurídico 10 se mantiene que; </w:t>
      </w:r>
    </w:p>
    <w:p w:rsidR="00607E3F" w:rsidRPr="00607E3F" w:rsidRDefault="00607E3F" w:rsidP="00607E3F">
      <w:pPr>
        <w:rPr>
          <w:rFonts w:ascii="Times New Roman" w:hAnsi="Times New Roman" w:cs="Times New Roman"/>
          <w:i/>
          <w:sz w:val="24"/>
          <w:szCs w:val="24"/>
        </w:rPr>
      </w:pPr>
      <w:proofErr w:type="gramStart"/>
      <w:r>
        <w:rPr>
          <w:rFonts w:ascii="Times New Roman" w:hAnsi="Times New Roman" w:cs="Times New Roman"/>
          <w:sz w:val="24"/>
          <w:szCs w:val="24"/>
        </w:rPr>
        <w:lastRenderedPageBreak/>
        <w:t>“</w:t>
      </w:r>
      <w:r w:rsidRPr="00607E3F">
        <w:rPr>
          <w:rFonts w:ascii="Times New Roman" w:hAnsi="Times New Roman" w:cs="Times New Roman"/>
          <w:sz w:val="24"/>
          <w:szCs w:val="24"/>
        </w:rPr>
        <w:t xml:space="preserve"> </w:t>
      </w:r>
      <w:r w:rsidRPr="00607E3F">
        <w:rPr>
          <w:rFonts w:ascii="Times New Roman" w:hAnsi="Times New Roman" w:cs="Times New Roman"/>
          <w:i/>
          <w:sz w:val="24"/>
          <w:szCs w:val="24"/>
        </w:rPr>
        <w:t>Con</w:t>
      </w:r>
      <w:proofErr w:type="gramEnd"/>
      <w:r w:rsidRPr="00607E3F">
        <w:rPr>
          <w:rFonts w:ascii="Times New Roman" w:hAnsi="Times New Roman" w:cs="Times New Roman"/>
          <w:i/>
          <w:sz w:val="24"/>
          <w:szCs w:val="24"/>
        </w:rPr>
        <w:t xml:space="preserve"> ser rigurosamente exacto que las sentencias firmes han de ser cumplidas en sus propios términos, pues así lo exige el artículo 118 de la Constitución ; no obstante esta exigencia admite excepciones. Así, tanto el  artículo 18.2   de la Ley Orgánica 6/1985, del Poder Judicial, como el 105.2 de la  Ley de la Jurisdicción Contencioso-Administrativa  ( RCL 1998, 1741 )   permiten declarar inejecutable una sentencia por causa de imposibilidad legal o material, con la transformación del fallo, ordinariamente, en una indemnización de daños y perjuicios, y de que </w:t>
      </w:r>
      <w:r w:rsidRPr="00607E3F">
        <w:rPr>
          <w:rFonts w:ascii="Times New Roman" w:hAnsi="Times New Roman" w:cs="Times New Roman"/>
          <w:i/>
          <w:sz w:val="24"/>
          <w:szCs w:val="24"/>
          <w:u w:val="single"/>
        </w:rPr>
        <w:t xml:space="preserve">precisamente una de las causas de imposibilidad legal, por la propia naturaleza normativa de los planes urbanísticos, es la que tiene lugar como consecuencia de un cambio de planeamiento derivado de la </w:t>
      </w:r>
      <w:proofErr w:type="spellStart"/>
      <w:r w:rsidRPr="00607E3F">
        <w:rPr>
          <w:rFonts w:ascii="Times New Roman" w:hAnsi="Times New Roman" w:cs="Times New Roman"/>
          <w:i/>
          <w:sz w:val="24"/>
          <w:szCs w:val="24"/>
          <w:u w:val="single"/>
        </w:rPr>
        <w:t>potestas</w:t>
      </w:r>
      <w:proofErr w:type="spellEnd"/>
      <w:r w:rsidRPr="00607E3F">
        <w:rPr>
          <w:rFonts w:ascii="Times New Roman" w:hAnsi="Times New Roman" w:cs="Times New Roman"/>
          <w:i/>
          <w:sz w:val="24"/>
          <w:szCs w:val="24"/>
          <w:u w:val="single"/>
        </w:rPr>
        <w:t xml:space="preserve"> </w:t>
      </w:r>
      <w:proofErr w:type="spellStart"/>
      <w:r w:rsidRPr="00607E3F">
        <w:rPr>
          <w:rFonts w:ascii="Times New Roman" w:hAnsi="Times New Roman" w:cs="Times New Roman"/>
          <w:i/>
          <w:sz w:val="24"/>
          <w:szCs w:val="24"/>
          <w:u w:val="single"/>
        </w:rPr>
        <w:t>variandi</w:t>
      </w:r>
      <w:proofErr w:type="spellEnd"/>
      <w:r w:rsidRPr="00607E3F">
        <w:rPr>
          <w:rFonts w:ascii="Times New Roman" w:hAnsi="Times New Roman" w:cs="Times New Roman"/>
          <w:i/>
          <w:sz w:val="24"/>
          <w:szCs w:val="24"/>
          <w:u w:val="single"/>
        </w:rPr>
        <w:t xml:space="preserve"> de la Administración Urbanística</w:t>
      </w:r>
      <w:r w:rsidRPr="00607E3F">
        <w:rPr>
          <w:rFonts w:ascii="Times New Roman" w:hAnsi="Times New Roman" w:cs="Times New Roman"/>
          <w:i/>
          <w:sz w:val="24"/>
          <w:szCs w:val="24"/>
        </w:rPr>
        <w:t xml:space="preserve"> ( Sentencia de esta Sala del Tribunal Supremo de 21 de enero de 1999  (RJ 1999, 351)  , y las que en ella se citan).</w:t>
      </w:r>
    </w:p>
    <w:p w:rsidR="0000138B" w:rsidRPr="0000138B" w:rsidRDefault="004D196E" w:rsidP="0000138B">
      <w:pPr>
        <w:rPr>
          <w:rFonts w:ascii="Times New Roman" w:hAnsi="Times New Roman" w:cs="Times New Roman"/>
          <w:i/>
          <w:sz w:val="24"/>
          <w:szCs w:val="24"/>
        </w:rPr>
      </w:pPr>
      <w:r>
        <w:rPr>
          <w:rFonts w:ascii="Times New Roman" w:hAnsi="Times New Roman" w:cs="Times New Roman"/>
          <w:sz w:val="24"/>
          <w:szCs w:val="24"/>
        </w:rPr>
        <w:t xml:space="preserve">Recordemos en este punto que no estamos inventado nada, pues no solo el art. 105.4 LJCA </w:t>
      </w:r>
      <w:r w:rsidR="0000138B">
        <w:rPr>
          <w:rFonts w:ascii="Times New Roman" w:hAnsi="Times New Roman" w:cs="Times New Roman"/>
          <w:sz w:val="24"/>
          <w:szCs w:val="24"/>
        </w:rPr>
        <w:t xml:space="preserve">29/1998, </w:t>
      </w:r>
      <w:r>
        <w:rPr>
          <w:rFonts w:ascii="Times New Roman" w:hAnsi="Times New Roman" w:cs="Times New Roman"/>
          <w:sz w:val="24"/>
          <w:szCs w:val="24"/>
        </w:rPr>
        <w:t xml:space="preserve">ya prevé </w:t>
      </w:r>
      <w:r w:rsidR="0088258F">
        <w:rPr>
          <w:rFonts w:ascii="Times New Roman" w:hAnsi="Times New Roman" w:cs="Times New Roman"/>
          <w:sz w:val="24"/>
          <w:szCs w:val="24"/>
        </w:rPr>
        <w:t xml:space="preserve">la imposibilidad legal como causa </w:t>
      </w:r>
      <w:proofErr w:type="spellStart"/>
      <w:r w:rsidR="0088258F">
        <w:rPr>
          <w:rFonts w:ascii="Times New Roman" w:hAnsi="Times New Roman" w:cs="Times New Roman"/>
          <w:sz w:val="24"/>
          <w:szCs w:val="24"/>
        </w:rPr>
        <w:t>obstativa</w:t>
      </w:r>
      <w:proofErr w:type="spellEnd"/>
      <w:r w:rsidR="0088258F">
        <w:rPr>
          <w:rFonts w:ascii="Times New Roman" w:hAnsi="Times New Roman" w:cs="Times New Roman"/>
          <w:sz w:val="24"/>
          <w:szCs w:val="24"/>
        </w:rPr>
        <w:t xml:space="preserve"> de cumplir la sentencia en sus estrictos términos, sino que, asimismo, </w:t>
      </w:r>
      <w:r>
        <w:rPr>
          <w:rFonts w:ascii="Times New Roman" w:hAnsi="Times New Roman" w:cs="Times New Roman"/>
          <w:sz w:val="24"/>
          <w:szCs w:val="24"/>
        </w:rPr>
        <w:t xml:space="preserve">dichos supuestos legales </w:t>
      </w:r>
      <w:r w:rsidR="0000138B">
        <w:rPr>
          <w:rFonts w:ascii="Times New Roman" w:hAnsi="Times New Roman" w:cs="Times New Roman"/>
          <w:sz w:val="24"/>
          <w:szCs w:val="24"/>
        </w:rPr>
        <w:t xml:space="preserve">ya se recogían en la doctrina </w:t>
      </w:r>
      <w:r w:rsidR="0000138B" w:rsidRPr="0000138B">
        <w:rPr>
          <w:rFonts w:ascii="Times New Roman" w:hAnsi="Times New Roman" w:cs="Times New Roman"/>
          <w:sz w:val="24"/>
          <w:szCs w:val="24"/>
        </w:rPr>
        <w:t xml:space="preserve"> constitucional sobre las diferentes modalidades que puede revestir la ejecución de la sentencia STC 67/1984, de 7 de Junio (FJ-4); 109/1984 (FJ-2); 190/1990 (FJ-2); </w:t>
      </w:r>
      <w:r w:rsidR="0000138B">
        <w:rPr>
          <w:rFonts w:ascii="Times New Roman" w:hAnsi="Times New Roman" w:cs="Times New Roman"/>
          <w:sz w:val="24"/>
          <w:szCs w:val="24"/>
        </w:rPr>
        <w:t xml:space="preserve"> </w:t>
      </w:r>
      <w:r w:rsidR="0000138B" w:rsidRPr="0000138B">
        <w:rPr>
          <w:rFonts w:ascii="Times New Roman" w:hAnsi="Times New Roman" w:cs="Times New Roman"/>
          <w:sz w:val="24"/>
          <w:szCs w:val="24"/>
        </w:rPr>
        <w:t>STC 149/1989 (FJ-2); STC 58/1993 (FJ-2)</w:t>
      </w:r>
      <w:r w:rsidR="0088258F">
        <w:rPr>
          <w:rFonts w:ascii="Times New Roman" w:hAnsi="Times New Roman" w:cs="Times New Roman"/>
          <w:sz w:val="24"/>
          <w:szCs w:val="24"/>
        </w:rPr>
        <w:t xml:space="preserve">, Sentencias en las que se </w:t>
      </w:r>
      <w:r w:rsidR="0000138B">
        <w:rPr>
          <w:rFonts w:ascii="Times New Roman" w:hAnsi="Times New Roman" w:cs="Times New Roman"/>
          <w:sz w:val="24"/>
          <w:szCs w:val="24"/>
        </w:rPr>
        <w:t xml:space="preserve"> mantenía  que </w:t>
      </w:r>
      <w:r w:rsidR="0000138B" w:rsidRPr="0000138B">
        <w:rPr>
          <w:rFonts w:ascii="Times New Roman" w:hAnsi="Times New Roman" w:cs="Times New Roman"/>
          <w:sz w:val="24"/>
          <w:szCs w:val="24"/>
        </w:rPr>
        <w:t xml:space="preserve"> el derecho a la tutela judicial efectiva </w:t>
      </w:r>
      <w:r w:rsidR="0000138B" w:rsidRPr="0000138B">
        <w:rPr>
          <w:rFonts w:ascii="Times New Roman" w:hAnsi="Times New Roman" w:cs="Times New Roman"/>
          <w:i/>
          <w:sz w:val="24"/>
          <w:szCs w:val="24"/>
        </w:rPr>
        <w:t>“no alcanza a cubrir las diferentes modalidades que puede revestir la ejecución de la sentencia pues (…);</w:t>
      </w:r>
      <w:r w:rsidR="0000138B" w:rsidRPr="0000138B">
        <w:rPr>
          <w:rFonts w:ascii="Times New Roman" w:hAnsi="Times New Roman" w:cs="Times New Roman"/>
          <w:sz w:val="24"/>
          <w:szCs w:val="24"/>
        </w:rPr>
        <w:t xml:space="preserve"> </w:t>
      </w:r>
      <w:r w:rsidR="0000138B">
        <w:rPr>
          <w:rFonts w:ascii="Times New Roman" w:hAnsi="Times New Roman" w:cs="Times New Roman"/>
          <w:sz w:val="24"/>
          <w:szCs w:val="24"/>
        </w:rPr>
        <w:t xml:space="preserve"> </w:t>
      </w:r>
      <w:r w:rsidR="0000138B" w:rsidRPr="0000138B">
        <w:rPr>
          <w:rFonts w:ascii="Times New Roman" w:hAnsi="Times New Roman" w:cs="Times New Roman"/>
          <w:i/>
          <w:sz w:val="24"/>
          <w:szCs w:val="24"/>
        </w:rPr>
        <w:t xml:space="preserve">Tan constitucional es una ejecución en la que se cumple el principio de identidad total entre lo ejecutado y lo estatuido en el fallo, como una ejecución en la que, por razones atendibles, la condena es sustituida por su equivalente pecuniario u otro tipo de prestación. De acuerdo con lo anterior, el legislador puede establecer, sin afectar al contenido esencial del derecho, los supuestos en que no puede aplicarse el principio de identidad y sustituirse por una indemnización»  </w:t>
      </w:r>
    </w:p>
    <w:p w:rsidR="0000138B" w:rsidRPr="0000138B" w:rsidRDefault="0000138B" w:rsidP="0000138B">
      <w:pPr>
        <w:rPr>
          <w:rFonts w:ascii="Times New Roman" w:hAnsi="Times New Roman" w:cs="Times New Roman"/>
          <w:sz w:val="24"/>
          <w:szCs w:val="24"/>
        </w:rPr>
      </w:pPr>
      <w:r w:rsidRPr="0000138B">
        <w:rPr>
          <w:rFonts w:ascii="Times New Roman" w:hAnsi="Times New Roman" w:cs="Times New Roman"/>
          <w:sz w:val="24"/>
          <w:szCs w:val="24"/>
        </w:rPr>
        <w:t xml:space="preserve">La doctrina del T.C. sobre el derecho a la ejecución de las sentencias no se vincula </w:t>
      </w:r>
      <w:r>
        <w:rPr>
          <w:rFonts w:ascii="Times New Roman" w:hAnsi="Times New Roman" w:cs="Times New Roman"/>
          <w:sz w:val="24"/>
          <w:szCs w:val="24"/>
        </w:rPr>
        <w:t xml:space="preserve">por tanto </w:t>
      </w:r>
      <w:r w:rsidRPr="0000138B">
        <w:rPr>
          <w:rFonts w:ascii="Times New Roman" w:hAnsi="Times New Roman" w:cs="Times New Roman"/>
          <w:sz w:val="24"/>
          <w:szCs w:val="24"/>
        </w:rPr>
        <w:t xml:space="preserve">a obtener del Tribunal sentenciador un pronunciamiento </w:t>
      </w:r>
      <w:r w:rsidRPr="008220BC">
        <w:rPr>
          <w:rFonts w:ascii="Times New Roman" w:hAnsi="Times New Roman" w:cs="Times New Roman"/>
          <w:sz w:val="24"/>
          <w:szCs w:val="24"/>
          <w:u w:val="single"/>
        </w:rPr>
        <w:t>identificado</w:t>
      </w:r>
      <w:r w:rsidRPr="0000138B">
        <w:rPr>
          <w:rFonts w:ascii="Times New Roman" w:hAnsi="Times New Roman" w:cs="Times New Roman"/>
          <w:sz w:val="24"/>
          <w:szCs w:val="24"/>
        </w:rPr>
        <w:t xml:space="preserve"> con el estricto cumplimiento del fallo.</w:t>
      </w:r>
    </w:p>
    <w:p w:rsidR="0000138B" w:rsidRDefault="0000138B" w:rsidP="0000138B">
      <w:pPr>
        <w:rPr>
          <w:rFonts w:ascii="Times New Roman" w:hAnsi="Times New Roman" w:cs="Times New Roman"/>
          <w:sz w:val="24"/>
          <w:szCs w:val="24"/>
        </w:rPr>
      </w:pPr>
      <w:r>
        <w:rPr>
          <w:rFonts w:ascii="Times New Roman" w:hAnsi="Times New Roman" w:cs="Times New Roman"/>
          <w:sz w:val="24"/>
          <w:szCs w:val="24"/>
        </w:rPr>
        <w:t xml:space="preserve">En el mismo sentido la </w:t>
      </w:r>
      <w:r w:rsidRPr="0000138B">
        <w:rPr>
          <w:rFonts w:ascii="Times New Roman" w:hAnsi="Times New Roman" w:cs="Times New Roman"/>
          <w:sz w:val="24"/>
          <w:szCs w:val="24"/>
        </w:rPr>
        <w:t xml:space="preserve"> STC 73/2000, de 14 de Marzo, </w:t>
      </w:r>
      <w:r w:rsidRPr="0000138B">
        <w:rPr>
          <w:rFonts w:ascii="Times New Roman" w:hAnsi="Times New Roman" w:cs="Times New Roman"/>
          <w:i/>
          <w:sz w:val="24"/>
          <w:szCs w:val="24"/>
        </w:rPr>
        <w:t>“No se vulnera el derecho a la tutela judicial efectiva cuando una sentencia no se cumple en sus estrictos términos si ello se hace para preservar o proteger otros valores o bienes constitucionalmente protegidos y dignos de tutela, previo el correspondiente juicio de proporcionalidad”</w:t>
      </w:r>
    </w:p>
    <w:p w:rsidR="0088258F" w:rsidRPr="0088258F" w:rsidRDefault="0088258F" w:rsidP="0088258F">
      <w:pPr>
        <w:rPr>
          <w:rFonts w:ascii="Times New Roman" w:hAnsi="Times New Roman" w:cs="Times New Roman"/>
          <w:sz w:val="24"/>
          <w:szCs w:val="24"/>
        </w:rPr>
      </w:pPr>
      <w:r w:rsidRPr="0088258F">
        <w:rPr>
          <w:rFonts w:ascii="Times New Roman" w:hAnsi="Times New Roman" w:cs="Times New Roman"/>
          <w:sz w:val="24"/>
          <w:szCs w:val="24"/>
        </w:rPr>
        <w:t>Pero…</w:t>
      </w:r>
      <w:proofErr w:type="gramStart"/>
      <w:r w:rsidR="00710178">
        <w:rPr>
          <w:rFonts w:ascii="Times New Roman" w:hAnsi="Times New Roman" w:cs="Times New Roman"/>
          <w:sz w:val="24"/>
          <w:szCs w:val="24"/>
        </w:rPr>
        <w:t>..</w:t>
      </w:r>
      <w:proofErr w:type="gramEnd"/>
      <w:r w:rsidRPr="0088258F">
        <w:rPr>
          <w:rFonts w:ascii="Times New Roman" w:hAnsi="Times New Roman" w:cs="Times New Roman"/>
          <w:sz w:val="24"/>
          <w:szCs w:val="24"/>
        </w:rPr>
        <w:t xml:space="preserve"> ¿cualquie</w:t>
      </w:r>
      <w:r>
        <w:rPr>
          <w:rFonts w:ascii="Times New Roman" w:hAnsi="Times New Roman" w:cs="Times New Roman"/>
          <w:sz w:val="24"/>
          <w:szCs w:val="24"/>
        </w:rPr>
        <w:t xml:space="preserve">r modificación del planeamiento puede entenderse que constituye un nuevo marco jurídico en el que tenga amparo una causa de imposibilidad legal de cumplimiento de la sentencia?  </w:t>
      </w:r>
      <w:r w:rsidRPr="0088258F">
        <w:rPr>
          <w:rFonts w:ascii="Times New Roman" w:hAnsi="Times New Roman" w:cs="Times New Roman"/>
          <w:sz w:val="24"/>
          <w:szCs w:val="24"/>
        </w:rPr>
        <w:t>¿Bastaría la mera existencia del Plan o la licencia declarada nula tiene que recorrer todo el proceso de legalización en el nuevo plan previsto?</w:t>
      </w:r>
    </w:p>
    <w:p w:rsidR="0088258F" w:rsidRPr="0088258F" w:rsidRDefault="0088258F" w:rsidP="0088258F">
      <w:pPr>
        <w:rPr>
          <w:rFonts w:ascii="Times New Roman" w:hAnsi="Times New Roman" w:cs="Times New Roman"/>
          <w:sz w:val="24"/>
          <w:szCs w:val="24"/>
        </w:rPr>
      </w:pPr>
      <w:r w:rsidRPr="0088258F">
        <w:rPr>
          <w:rFonts w:ascii="Times New Roman" w:hAnsi="Times New Roman" w:cs="Times New Roman"/>
          <w:sz w:val="24"/>
          <w:szCs w:val="24"/>
        </w:rPr>
        <w:t xml:space="preserve">Estos y otros condicionantes los podemos encontrar en </w:t>
      </w:r>
      <w:r w:rsidRPr="00710178">
        <w:rPr>
          <w:rFonts w:ascii="Times New Roman" w:hAnsi="Times New Roman" w:cs="Times New Roman"/>
          <w:sz w:val="24"/>
          <w:szCs w:val="24"/>
          <w:u w:val="single"/>
        </w:rPr>
        <w:t>dos Autos</w:t>
      </w:r>
      <w:r w:rsidRPr="0088258F">
        <w:rPr>
          <w:rFonts w:ascii="Times New Roman" w:hAnsi="Times New Roman" w:cs="Times New Roman"/>
          <w:sz w:val="24"/>
          <w:szCs w:val="24"/>
        </w:rPr>
        <w:t xml:space="preserve"> </w:t>
      </w:r>
      <w:r>
        <w:rPr>
          <w:rFonts w:ascii="Times New Roman" w:hAnsi="Times New Roman" w:cs="Times New Roman"/>
          <w:sz w:val="24"/>
          <w:szCs w:val="24"/>
        </w:rPr>
        <w:t>(no olvidemos que el incidente de ejecución finaliza mediante el dictado de un Auto y no de una Sentencia) ambos</w:t>
      </w:r>
      <w:r w:rsidRPr="0088258F">
        <w:rPr>
          <w:rFonts w:ascii="Times New Roman" w:hAnsi="Times New Roman" w:cs="Times New Roman"/>
          <w:sz w:val="24"/>
          <w:szCs w:val="24"/>
        </w:rPr>
        <w:t xml:space="preserve"> </w:t>
      </w:r>
      <w:r w:rsidRPr="00710178">
        <w:rPr>
          <w:rFonts w:ascii="Times New Roman" w:hAnsi="Times New Roman" w:cs="Times New Roman"/>
          <w:sz w:val="24"/>
          <w:szCs w:val="24"/>
          <w:u w:val="single"/>
        </w:rPr>
        <w:t xml:space="preserve">dictados por  </w:t>
      </w:r>
      <w:r w:rsidR="00CA26F0" w:rsidRPr="00710178">
        <w:rPr>
          <w:rFonts w:ascii="Times New Roman" w:hAnsi="Times New Roman" w:cs="Times New Roman"/>
          <w:sz w:val="24"/>
          <w:szCs w:val="24"/>
          <w:u w:val="single"/>
        </w:rPr>
        <w:t>la Sala de lo Contencioso-</w:t>
      </w:r>
      <w:proofErr w:type="spellStart"/>
      <w:r w:rsidR="00CA26F0" w:rsidRPr="00710178">
        <w:rPr>
          <w:rFonts w:ascii="Times New Roman" w:hAnsi="Times New Roman" w:cs="Times New Roman"/>
          <w:sz w:val="24"/>
          <w:szCs w:val="24"/>
          <w:u w:val="single"/>
        </w:rPr>
        <w:t>adtvo</w:t>
      </w:r>
      <w:proofErr w:type="spellEnd"/>
      <w:r w:rsidR="00CA26F0" w:rsidRPr="00710178">
        <w:rPr>
          <w:rFonts w:ascii="Times New Roman" w:hAnsi="Times New Roman" w:cs="Times New Roman"/>
          <w:sz w:val="24"/>
          <w:szCs w:val="24"/>
          <w:u w:val="single"/>
        </w:rPr>
        <w:t xml:space="preserve">. </w:t>
      </w:r>
      <w:proofErr w:type="gramStart"/>
      <w:r w:rsidR="00CA26F0" w:rsidRPr="00710178">
        <w:rPr>
          <w:rFonts w:ascii="Times New Roman" w:hAnsi="Times New Roman" w:cs="Times New Roman"/>
          <w:sz w:val="24"/>
          <w:szCs w:val="24"/>
          <w:u w:val="single"/>
        </w:rPr>
        <w:t>d</w:t>
      </w:r>
      <w:r w:rsidRPr="00710178">
        <w:rPr>
          <w:rFonts w:ascii="Times New Roman" w:hAnsi="Times New Roman" w:cs="Times New Roman"/>
          <w:sz w:val="24"/>
          <w:szCs w:val="24"/>
          <w:u w:val="single"/>
        </w:rPr>
        <w:t>el</w:t>
      </w:r>
      <w:proofErr w:type="gramEnd"/>
      <w:r w:rsidRPr="00710178">
        <w:rPr>
          <w:rFonts w:ascii="Times New Roman" w:hAnsi="Times New Roman" w:cs="Times New Roman"/>
          <w:sz w:val="24"/>
          <w:szCs w:val="24"/>
          <w:u w:val="single"/>
        </w:rPr>
        <w:t xml:space="preserve"> Tribunal Superior de Justicia de Andalucía, Sala de Málaga, resolviendo diversos incidentes de ejecución promovidos por promotores inmobiliarios de la Ciudad de Marbella</w:t>
      </w:r>
      <w:r w:rsidRPr="0088258F">
        <w:rPr>
          <w:rFonts w:ascii="Times New Roman" w:hAnsi="Times New Roman" w:cs="Times New Roman"/>
          <w:sz w:val="24"/>
          <w:szCs w:val="24"/>
        </w:rPr>
        <w:t xml:space="preserve"> los cuales entendían, erróneamente, que la mera existencia del nuevo Plan General de la Ciudad (hoy declarado nulo de pleno derecho) bastaba y era por sí suficiente para la completa legalización de las promociones cuyos títulos jurídicos habían sido declarados nulos.</w:t>
      </w:r>
    </w:p>
    <w:p w:rsidR="0088258F" w:rsidRDefault="0088258F" w:rsidP="0088258F">
      <w:pPr>
        <w:rPr>
          <w:rFonts w:ascii="Times New Roman" w:hAnsi="Times New Roman" w:cs="Times New Roman"/>
          <w:sz w:val="24"/>
          <w:szCs w:val="24"/>
        </w:rPr>
      </w:pPr>
      <w:r>
        <w:rPr>
          <w:rFonts w:ascii="Times New Roman" w:hAnsi="Times New Roman" w:cs="Times New Roman"/>
          <w:sz w:val="24"/>
          <w:szCs w:val="24"/>
        </w:rPr>
        <w:lastRenderedPageBreak/>
        <w:t xml:space="preserve">El primero fue </w:t>
      </w:r>
      <w:r w:rsidRPr="0088258F">
        <w:rPr>
          <w:rFonts w:ascii="Times New Roman" w:hAnsi="Times New Roman" w:cs="Times New Roman"/>
          <w:sz w:val="24"/>
          <w:szCs w:val="24"/>
        </w:rPr>
        <w:t>dictado en fecha 16 de Enero de 2008</w:t>
      </w:r>
      <w:r>
        <w:rPr>
          <w:rFonts w:ascii="Times New Roman" w:hAnsi="Times New Roman" w:cs="Times New Roman"/>
          <w:sz w:val="24"/>
          <w:szCs w:val="24"/>
        </w:rPr>
        <w:t>, anterior por tanto a la aprobación definitiva de su PGOU,</w:t>
      </w:r>
      <w:r w:rsidRPr="0088258F">
        <w:rPr>
          <w:rFonts w:ascii="Times New Roman" w:hAnsi="Times New Roman" w:cs="Times New Roman"/>
          <w:sz w:val="24"/>
          <w:szCs w:val="24"/>
        </w:rPr>
        <w:t xml:space="preserve"> y el segundo de fecha 16 de Diciembre de 2010</w:t>
      </w:r>
      <w:r>
        <w:rPr>
          <w:rFonts w:ascii="Times New Roman" w:hAnsi="Times New Roman" w:cs="Times New Roman"/>
          <w:sz w:val="24"/>
          <w:szCs w:val="24"/>
        </w:rPr>
        <w:t>, posterior a la entrada en vigor de dicho instrumento de planeamiento general.</w:t>
      </w:r>
    </w:p>
    <w:p w:rsidR="0088258F" w:rsidRDefault="0088258F" w:rsidP="0088258F">
      <w:pPr>
        <w:rPr>
          <w:rFonts w:ascii="Times New Roman" w:hAnsi="Times New Roman" w:cs="Times New Roman"/>
          <w:sz w:val="24"/>
          <w:szCs w:val="24"/>
        </w:rPr>
      </w:pPr>
      <w:r w:rsidRPr="0088258F">
        <w:rPr>
          <w:rFonts w:ascii="Times New Roman" w:hAnsi="Times New Roman" w:cs="Times New Roman"/>
          <w:sz w:val="24"/>
          <w:szCs w:val="24"/>
        </w:rPr>
        <w:t>He encontrado en ellos una recopilación interesante de todos los condicionantes que ha ido acuñando la jurisprudencia para aplicar una norma excepcional que no es otra que alterar la identidad inicial del fallo judicial de su demolición indefectible, por llamémosla, otras formas de cumplimiento….</w:t>
      </w:r>
    </w:p>
    <w:p w:rsidR="00CA26F0" w:rsidRDefault="00CA26F0" w:rsidP="0088258F">
      <w:pPr>
        <w:rPr>
          <w:rFonts w:ascii="Times New Roman" w:hAnsi="Times New Roman" w:cs="Times New Roman"/>
          <w:sz w:val="24"/>
          <w:szCs w:val="24"/>
        </w:rPr>
      </w:pPr>
      <w:r>
        <w:rPr>
          <w:rFonts w:ascii="Times New Roman" w:hAnsi="Times New Roman" w:cs="Times New Roman"/>
          <w:sz w:val="24"/>
          <w:szCs w:val="24"/>
        </w:rPr>
        <w:t>Estos son los condicionantes que se extraen de ambos Autos, cuya premisa inicial es la siguiente, “</w:t>
      </w:r>
      <w:r w:rsidRPr="00CA26F0">
        <w:rPr>
          <w:rFonts w:ascii="Times New Roman" w:hAnsi="Times New Roman" w:cs="Times New Roman"/>
          <w:i/>
          <w:sz w:val="24"/>
          <w:szCs w:val="24"/>
        </w:rPr>
        <w:t xml:space="preserve">Es posible que la entrada </w:t>
      </w:r>
      <w:r w:rsidR="0088258F" w:rsidRPr="00CA26F0">
        <w:rPr>
          <w:rFonts w:ascii="Times New Roman" w:hAnsi="Times New Roman" w:cs="Times New Roman"/>
          <w:i/>
          <w:sz w:val="24"/>
          <w:szCs w:val="24"/>
        </w:rPr>
        <w:t>en vigor de un nuevo instrumento de planeamiento general suponga una causa de imposibilidad legal de ejecutar una sentencia</w:t>
      </w:r>
      <w:r>
        <w:rPr>
          <w:rFonts w:ascii="Times New Roman" w:hAnsi="Times New Roman" w:cs="Times New Roman"/>
          <w:sz w:val="24"/>
          <w:szCs w:val="24"/>
        </w:rPr>
        <w:t>”, pero…</w:t>
      </w:r>
    </w:p>
    <w:p w:rsidR="00CA26F0" w:rsidRPr="00CA26F0" w:rsidRDefault="00CA26F0" w:rsidP="00CA26F0">
      <w:pPr>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r>
      <w:r w:rsidRPr="00CA26F0">
        <w:rPr>
          <w:rFonts w:ascii="Times New Roman" w:hAnsi="Times New Roman" w:cs="Times New Roman"/>
          <w:sz w:val="24"/>
          <w:szCs w:val="24"/>
        </w:rPr>
        <w:t>C</w:t>
      </w:r>
      <w:r w:rsidR="0088258F" w:rsidRPr="00CA26F0">
        <w:rPr>
          <w:rFonts w:ascii="Times New Roman" w:hAnsi="Times New Roman" w:cs="Times New Roman"/>
          <w:sz w:val="24"/>
          <w:szCs w:val="24"/>
        </w:rPr>
        <w:t>orresponde siempre en última instancia al juzgado la potestad de "hacer ejecutar lo juzgado". "</w:t>
      </w:r>
      <w:r w:rsidR="0088258F" w:rsidRPr="00FB3517">
        <w:rPr>
          <w:rFonts w:ascii="Times New Roman" w:hAnsi="Times New Roman" w:cs="Times New Roman"/>
          <w:sz w:val="24"/>
          <w:szCs w:val="24"/>
          <w:u w:val="single"/>
        </w:rPr>
        <w:t xml:space="preserve">Los acuerdos legalizadores han de ser controlados en el propio proceso de </w:t>
      </w:r>
      <w:r w:rsidRPr="00FB3517">
        <w:rPr>
          <w:rFonts w:ascii="Times New Roman" w:hAnsi="Times New Roman" w:cs="Times New Roman"/>
          <w:sz w:val="24"/>
          <w:szCs w:val="24"/>
          <w:u w:val="single"/>
        </w:rPr>
        <w:t>ejecución</w:t>
      </w:r>
      <w:r w:rsidR="0088258F" w:rsidRPr="00FB3517">
        <w:rPr>
          <w:rFonts w:ascii="Times New Roman" w:hAnsi="Times New Roman" w:cs="Times New Roman"/>
          <w:sz w:val="24"/>
          <w:szCs w:val="24"/>
          <w:u w:val="single"/>
        </w:rPr>
        <w:t xml:space="preserve"> por el órgano sentenciador</w:t>
      </w:r>
      <w:r w:rsidR="0088258F" w:rsidRPr="00CA26F0">
        <w:rPr>
          <w:rFonts w:ascii="Times New Roman" w:hAnsi="Times New Roman" w:cs="Times New Roman"/>
          <w:sz w:val="24"/>
          <w:szCs w:val="24"/>
        </w:rPr>
        <w:t>, lo cual significa que el ente de la Administración, cuando ejecuta, lo hace siempre bajo la vigilancia y control del órgano jurisdiccional"</w:t>
      </w:r>
      <w:r w:rsidRPr="00CA26F0">
        <w:rPr>
          <w:rFonts w:ascii="Times New Roman" w:hAnsi="Times New Roman" w:cs="Times New Roman"/>
          <w:sz w:val="24"/>
          <w:szCs w:val="24"/>
        </w:rPr>
        <w:t>.</w:t>
      </w:r>
    </w:p>
    <w:p w:rsidR="0088258F" w:rsidRPr="00FB3517" w:rsidRDefault="00CA26F0" w:rsidP="00CA26F0">
      <w:pPr>
        <w:rPr>
          <w:rFonts w:ascii="Times New Roman" w:hAnsi="Times New Roman" w:cs="Times New Roman"/>
          <w:sz w:val="24"/>
          <w:szCs w:val="24"/>
          <w:u w:val="single"/>
        </w:rPr>
      </w:pPr>
      <w:r>
        <w:rPr>
          <w:rFonts w:ascii="Times New Roman" w:hAnsi="Times New Roman" w:cs="Times New Roman"/>
          <w:sz w:val="24"/>
          <w:szCs w:val="24"/>
        </w:rPr>
        <w:t xml:space="preserve">2.- </w:t>
      </w:r>
      <w:r>
        <w:rPr>
          <w:rFonts w:ascii="Times New Roman" w:hAnsi="Times New Roman" w:cs="Times New Roman"/>
          <w:sz w:val="24"/>
          <w:szCs w:val="24"/>
        </w:rPr>
        <w:tab/>
      </w:r>
      <w:r w:rsidR="0088258F" w:rsidRPr="00CA26F0">
        <w:rPr>
          <w:rFonts w:ascii="Times New Roman" w:hAnsi="Times New Roman" w:cs="Times New Roman"/>
          <w:sz w:val="24"/>
          <w:szCs w:val="24"/>
        </w:rPr>
        <w:t xml:space="preserve">El nuevo instrumento de planeamiento general recogerá las cargas urbanísticas que tenga que soportar, para su regularización, la actuación urbanística que ha sido objeto de Sentencia. </w:t>
      </w:r>
      <w:r w:rsidR="0088258F" w:rsidRPr="00FB3517">
        <w:rPr>
          <w:rFonts w:ascii="Times New Roman" w:hAnsi="Times New Roman" w:cs="Times New Roman"/>
          <w:sz w:val="24"/>
          <w:szCs w:val="24"/>
          <w:u w:val="single"/>
        </w:rPr>
        <w:t>No basta la mera entrada en vigor del nuevo instrumento del planeamiento.</w:t>
      </w:r>
    </w:p>
    <w:p w:rsidR="0088258F" w:rsidRPr="0088258F" w:rsidRDefault="0088258F" w:rsidP="00FB3517">
      <w:pPr>
        <w:rPr>
          <w:rFonts w:ascii="Times New Roman" w:hAnsi="Times New Roman" w:cs="Times New Roman"/>
          <w:sz w:val="24"/>
          <w:szCs w:val="24"/>
        </w:rPr>
      </w:pPr>
      <w:r w:rsidRPr="0088258F">
        <w:rPr>
          <w:rFonts w:ascii="Times New Roman" w:hAnsi="Times New Roman" w:cs="Times New Roman"/>
          <w:sz w:val="24"/>
          <w:szCs w:val="24"/>
        </w:rPr>
        <w:t>"</w:t>
      </w:r>
      <w:r w:rsidRPr="00D517F1">
        <w:rPr>
          <w:rFonts w:ascii="Times New Roman" w:hAnsi="Times New Roman" w:cs="Times New Roman"/>
          <w:i/>
          <w:sz w:val="24"/>
          <w:szCs w:val="24"/>
        </w:rPr>
        <w:t>En el fondo, pues, lo que se discute es si basta con la exclusiva circunstancia de la aprobación de un nuevo planeamiento posterior, conforme al cual ya no concurriría la infracción urbanística determinante de la nulidad declarada por la sentencia cuya ejecución se pretende- para de forma automática y sin más trámites, poder obtener un pronunciamiento jurisdiccional de inejecución legal de la sentencia. La respuesta no puede ser positiva</w:t>
      </w:r>
      <w:r w:rsidRPr="0088258F">
        <w:rPr>
          <w:rFonts w:ascii="Times New Roman" w:hAnsi="Times New Roman" w:cs="Times New Roman"/>
          <w:sz w:val="24"/>
          <w:szCs w:val="24"/>
        </w:rPr>
        <w:t>".</w:t>
      </w:r>
    </w:p>
    <w:p w:rsidR="0088258F" w:rsidRDefault="00D517F1" w:rsidP="0088258F">
      <w:pPr>
        <w:rPr>
          <w:rFonts w:ascii="Times New Roman" w:hAnsi="Times New Roman" w:cs="Times New Roman"/>
          <w:sz w:val="24"/>
          <w:szCs w:val="24"/>
        </w:rPr>
      </w:pPr>
      <w:r>
        <w:rPr>
          <w:rFonts w:ascii="Times New Roman" w:hAnsi="Times New Roman" w:cs="Times New Roman"/>
          <w:sz w:val="24"/>
          <w:szCs w:val="24"/>
        </w:rPr>
        <w:t xml:space="preserve">3.- </w:t>
      </w:r>
      <w:r w:rsidR="0088258F" w:rsidRPr="0088258F">
        <w:rPr>
          <w:rFonts w:ascii="Times New Roman" w:hAnsi="Times New Roman" w:cs="Times New Roman"/>
          <w:sz w:val="24"/>
          <w:szCs w:val="24"/>
        </w:rPr>
        <w:t xml:space="preserve"> "</w:t>
      </w:r>
      <w:r>
        <w:rPr>
          <w:rFonts w:ascii="Times New Roman" w:hAnsi="Times New Roman" w:cs="Times New Roman"/>
          <w:sz w:val="24"/>
          <w:szCs w:val="24"/>
        </w:rPr>
        <w:t>L</w:t>
      </w:r>
      <w:r w:rsidR="0088258F" w:rsidRPr="0088258F">
        <w:rPr>
          <w:rFonts w:ascii="Times New Roman" w:hAnsi="Times New Roman" w:cs="Times New Roman"/>
          <w:sz w:val="24"/>
          <w:szCs w:val="24"/>
        </w:rPr>
        <w:t xml:space="preserve">a mera declaración de legalización es insuficiente para que la sentencia se tenga por cumplida, </w:t>
      </w:r>
      <w:r w:rsidR="0088258F" w:rsidRPr="00FB3517">
        <w:rPr>
          <w:rFonts w:ascii="Times New Roman" w:hAnsi="Times New Roman" w:cs="Times New Roman"/>
          <w:sz w:val="24"/>
          <w:szCs w:val="24"/>
          <w:u w:val="single"/>
        </w:rPr>
        <w:t xml:space="preserve">siendo necesario que se adopten los acuerdos efectivos para que tal declaración </w:t>
      </w:r>
      <w:proofErr w:type="spellStart"/>
      <w:r w:rsidR="0088258F" w:rsidRPr="00FB3517">
        <w:rPr>
          <w:rFonts w:ascii="Times New Roman" w:hAnsi="Times New Roman" w:cs="Times New Roman"/>
          <w:sz w:val="24"/>
          <w:szCs w:val="24"/>
          <w:u w:val="single"/>
        </w:rPr>
        <w:t>legalizadora</w:t>
      </w:r>
      <w:proofErr w:type="spellEnd"/>
      <w:r w:rsidR="0088258F" w:rsidRPr="00FB3517">
        <w:rPr>
          <w:rFonts w:ascii="Times New Roman" w:hAnsi="Times New Roman" w:cs="Times New Roman"/>
          <w:sz w:val="24"/>
          <w:szCs w:val="24"/>
          <w:u w:val="single"/>
        </w:rPr>
        <w:t xml:space="preserve"> sea rea</w:t>
      </w:r>
      <w:r w:rsidR="002B3481" w:rsidRPr="00FB3517">
        <w:rPr>
          <w:rFonts w:ascii="Times New Roman" w:hAnsi="Times New Roman" w:cs="Times New Roman"/>
          <w:sz w:val="24"/>
          <w:szCs w:val="24"/>
          <w:u w:val="single"/>
        </w:rPr>
        <w:t>l</w:t>
      </w:r>
      <w:r w:rsidR="0088258F" w:rsidRPr="0088258F">
        <w:rPr>
          <w:rFonts w:ascii="Times New Roman" w:hAnsi="Times New Roman" w:cs="Times New Roman"/>
          <w:sz w:val="24"/>
          <w:szCs w:val="24"/>
        </w:rPr>
        <w:t>".</w:t>
      </w:r>
    </w:p>
    <w:p w:rsidR="000F6B9B" w:rsidRPr="0088258F" w:rsidRDefault="000F6B9B" w:rsidP="0088258F">
      <w:pPr>
        <w:rPr>
          <w:rFonts w:ascii="Times New Roman" w:hAnsi="Times New Roman" w:cs="Times New Roman"/>
          <w:sz w:val="24"/>
          <w:szCs w:val="24"/>
        </w:rPr>
      </w:pPr>
      <w:r>
        <w:rPr>
          <w:rFonts w:ascii="Times New Roman" w:hAnsi="Times New Roman" w:cs="Times New Roman"/>
          <w:sz w:val="24"/>
          <w:szCs w:val="24"/>
        </w:rPr>
        <w:t xml:space="preserve">En el mismo sentido  lo mantienen las </w:t>
      </w:r>
      <w:r w:rsidRPr="000F6B9B">
        <w:rPr>
          <w:rFonts w:ascii="Times New Roman" w:hAnsi="Times New Roman" w:cs="Times New Roman"/>
          <w:sz w:val="24"/>
          <w:szCs w:val="24"/>
        </w:rPr>
        <w:t>Sentencia</w:t>
      </w:r>
      <w:r>
        <w:rPr>
          <w:rFonts w:ascii="Times New Roman" w:hAnsi="Times New Roman" w:cs="Times New Roman"/>
          <w:sz w:val="24"/>
          <w:szCs w:val="24"/>
        </w:rPr>
        <w:t>s</w:t>
      </w:r>
      <w:r w:rsidRPr="000F6B9B">
        <w:rPr>
          <w:rFonts w:ascii="Times New Roman" w:hAnsi="Times New Roman" w:cs="Times New Roman"/>
          <w:sz w:val="24"/>
          <w:szCs w:val="24"/>
        </w:rPr>
        <w:t xml:space="preserve"> del Tribunal Supremo de 6 de febrero de 2007 (RJ 2007, 4587 )  y de 29 de abril de 2009, " </w:t>
      </w:r>
      <w:r w:rsidRPr="00FB3517">
        <w:rPr>
          <w:rFonts w:ascii="Times New Roman" w:hAnsi="Times New Roman" w:cs="Times New Roman"/>
          <w:i/>
          <w:sz w:val="24"/>
          <w:szCs w:val="24"/>
          <w:u w:val="single"/>
        </w:rPr>
        <w:t>es imprescindible que la Administración competente haya resuelto acerca de la legalización de la obra y de la actividad</w:t>
      </w:r>
      <w:r w:rsidRPr="000F6B9B">
        <w:rPr>
          <w:rFonts w:ascii="Times New Roman" w:hAnsi="Times New Roman" w:cs="Times New Roman"/>
          <w:i/>
          <w:sz w:val="24"/>
          <w:szCs w:val="24"/>
        </w:rPr>
        <w:t>, de manera que, una vez tramitados los oportunos expedientes a tal fin y dictada la resolución otorgando las oportunas licencias por ser conforme a derecho su concesión, podrá el órgano obligado al cumplimiento de la sentencia promover eficazmente el incidente de imposibilidad material o legal de ejecutarla</w:t>
      </w:r>
      <w:r w:rsidRPr="000F6B9B">
        <w:rPr>
          <w:rFonts w:ascii="Times New Roman" w:hAnsi="Times New Roman" w:cs="Times New Roman"/>
          <w:sz w:val="24"/>
          <w:szCs w:val="24"/>
        </w:rPr>
        <w:t xml:space="preserve"> ".</w:t>
      </w:r>
    </w:p>
    <w:p w:rsidR="0088258F" w:rsidRDefault="00D517F1" w:rsidP="0088258F">
      <w:pPr>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ab/>
        <w:t>“</w:t>
      </w:r>
      <w:r w:rsidR="0088258F" w:rsidRPr="0088258F">
        <w:rPr>
          <w:rFonts w:ascii="Times New Roman" w:hAnsi="Times New Roman" w:cs="Times New Roman"/>
          <w:sz w:val="24"/>
          <w:szCs w:val="24"/>
        </w:rPr>
        <w:t xml:space="preserve">La existencia pues de un instrumento de planeamiento posterior que pueda dar cobertura legal a la licencia anulada en su día por la Sala </w:t>
      </w:r>
      <w:r w:rsidR="0088258F" w:rsidRPr="00FB3517">
        <w:rPr>
          <w:rFonts w:ascii="Times New Roman" w:hAnsi="Times New Roman" w:cs="Times New Roman"/>
          <w:sz w:val="24"/>
          <w:szCs w:val="24"/>
          <w:u w:val="single"/>
        </w:rPr>
        <w:t>no implica su imposibilidad de ejecución, sino la posib</w:t>
      </w:r>
      <w:r w:rsidRPr="00FB3517">
        <w:rPr>
          <w:rFonts w:ascii="Times New Roman" w:hAnsi="Times New Roman" w:cs="Times New Roman"/>
          <w:sz w:val="24"/>
          <w:szCs w:val="24"/>
          <w:u w:val="single"/>
        </w:rPr>
        <w:t>ilidad</w:t>
      </w:r>
      <w:r w:rsidR="0088258F" w:rsidRPr="00FB3517">
        <w:rPr>
          <w:rFonts w:ascii="Times New Roman" w:hAnsi="Times New Roman" w:cs="Times New Roman"/>
          <w:sz w:val="24"/>
          <w:szCs w:val="24"/>
          <w:u w:val="single"/>
        </w:rPr>
        <w:t xml:space="preserve"> de legalización siguiendo el procedimiento legalmente establecido a tal fin</w:t>
      </w:r>
      <w:r w:rsidR="0088258F" w:rsidRPr="0088258F">
        <w:rPr>
          <w:rFonts w:ascii="Times New Roman" w:hAnsi="Times New Roman" w:cs="Times New Roman"/>
          <w:sz w:val="24"/>
          <w:szCs w:val="24"/>
        </w:rPr>
        <w:t>, bajo el debido control judicial en salvaguarda del interés público de las partes en litigio".</w:t>
      </w:r>
    </w:p>
    <w:p w:rsidR="002B3481" w:rsidRPr="0088258F" w:rsidRDefault="002B3481" w:rsidP="0088258F">
      <w:pPr>
        <w:rPr>
          <w:rFonts w:ascii="Times New Roman" w:hAnsi="Times New Roman" w:cs="Times New Roman"/>
          <w:sz w:val="24"/>
          <w:szCs w:val="24"/>
        </w:rPr>
      </w:pPr>
      <w:r>
        <w:rPr>
          <w:rFonts w:ascii="Times New Roman" w:hAnsi="Times New Roman" w:cs="Times New Roman"/>
          <w:sz w:val="24"/>
          <w:szCs w:val="24"/>
        </w:rPr>
        <w:t xml:space="preserve">Sobre este condicionante encontramos algunos pronunciamientos del Tribunal Supremo como el contenido en la </w:t>
      </w:r>
      <w:r w:rsidRPr="002B3481">
        <w:rPr>
          <w:rFonts w:ascii="Times New Roman" w:hAnsi="Times New Roman" w:cs="Times New Roman"/>
          <w:sz w:val="24"/>
          <w:szCs w:val="24"/>
        </w:rPr>
        <w:t xml:space="preserve">STS de 5 de Abril de 2013, </w:t>
      </w:r>
      <w:r w:rsidR="000F6B9B">
        <w:rPr>
          <w:rFonts w:ascii="Times New Roman" w:hAnsi="Times New Roman" w:cs="Times New Roman"/>
          <w:sz w:val="24"/>
          <w:szCs w:val="24"/>
        </w:rPr>
        <w:t>(</w:t>
      </w:r>
      <w:r w:rsidRPr="002B3481">
        <w:rPr>
          <w:rFonts w:ascii="Times New Roman" w:hAnsi="Times New Roman" w:cs="Times New Roman"/>
          <w:sz w:val="24"/>
          <w:szCs w:val="24"/>
        </w:rPr>
        <w:t>EDJ 2013/43488)</w:t>
      </w:r>
      <w:r>
        <w:rPr>
          <w:rFonts w:ascii="Times New Roman" w:hAnsi="Times New Roman" w:cs="Times New Roman"/>
          <w:sz w:val="24"/>
          <w:szCs w:val="24"/>
        </w:rPr>
        <w:t xml:space="preserve"> </w:t>
      </w:r>
      <w:r w:rsidRPr="002B3481">
        <w:rPr>
          <w:rFonts w:ascii="Times New Roman" w:hAnsi="Times New Roman" w:cs="Times New Roman"/>
          <w:sz w:val="24"/>
          <w:szCs w:val="24"/>
        </w:rPr>
        <w:t>"</w:t>
      </w:r>
      <w:r w:rsidRPr="00FB3517">
        <w:rPr>
          <w:rFonts w:ascii="Times New Roman" w:hAnsi="Times New Roman" w:cs="Times New Roman"/>
          <w:i/>
          <w:sz w:val="24"/>
          <w:szCs w:val="24"/>
        </w:rPr>
        <w:t xml:space="preserve">El planteamiento que hace el recurrente defendiendo una pérdida sobrevenida de objeto por causa de un nuevo planeamiento </w:t>
      </w:r>
      <w:r w:rsidRPr="00FB3517">
        <w:rPr>
          <w:rFonts w:ascii="Times New Roman" w:hAnsi="Times New Roman" w:cs="Times New Roman"/>
          <w:i/>
          <w:sz w:val="24"/>
          <w:szCs w:val="24"/>
        </w:rPr>
        <w:lastRenderedPageBreak/>
        <w:t>es inatendible y olvida que ese nuevo planeamiento en ningún caso supone legalización alguna de lo indebidamente autorizado , pues el nuevo planeamiento sólo puede conducir, en su caso y con estrictas matizaciones, a un supuesto de imposibilidad legal de ejecución (si se ha ejecutado la obra conforme a la licencia nula), y todo ello, también, dejando a salvo los supuestos en que la nueva ordenación se haya producido con la finalidad de eludir la ejecución de la sentencia</w:t>
      </w:r>
      <w:r w:rsidRPr="002B3481">
        <w:rPr>
          <w:rFonts w:ascii="Times New Roman" w:hAnsi="Times New Roman" w:cs="Times New Roman"/>
          <w:sz w:val="24"/>
          <w:szCs w:val="24"/>
        </w:rPr>
        <w:t>".</w:t>
      </w:r>
    </w:p>
    <w:p w:rsidR="0030051D" w:rsidRPr="00FB3517" w:rsidRDefault="000F6B9B" w:rsidP="0088258F">
      <w:pPr>
        <w:rPr>
          <w:rFonts w:ascii="Times New Roman" w:hAnsi="Times New Roman" w:cs="Times New Roman"/>
          <w:sz w:val="24"/>
          <w:szCs w:val="24"/>
          <w:u w:val="single"/>
        </w:rPr>
      </w:pPr>
      <w:r>
        <w:rPr>
          <w:rFonts w:ascii="Times New Roman" w:hAnsi="Times New Roman" w:cs="Times New Roman"/>
          <w:sz w:val="24"/>
          <w:szCs w:val="24"/>
        </w:rPr>
        <w:t xml:space="preserve">5.- </w:t>
      </w:r>
      <w:r w:rsidR="0088258F" w:rsidRPr="0088258F">
        <w:rPr>
          <w:rFonts w:ascii="Times New Roman" w:hAnsi="Times New Roman" w:cs="Times New Roman"/>
          <w:sz w:val="24"/>
          <w:szCs w:val="24"/>
        </w:rPr>
        <w:tab/>
        <w:t>"</w:t>
      </w:r>
      <w:r w:rsidR="0088258F" w:rsidRPr="00FB3517">
        <w:rPr>
          <w:rFonts w:ascii="Times New Roman" w:hAnsi="Times New Roman" w:cs="Times New Roman"/>
          <w:sz w:val="24"/>
          <w:szCs w:val="24"/>
          <w:u w:val="single"/>
        </w:rPr>
        <w:t>la modificación del planeamiento no será causa de inejecución de una sentencia si ha sido realizada con la intención de incumplir la sentencia, o mejor, con la intención de que esta no se ejecute</w:t>
      </w:r>
      <w:r w:rsidR="0030051D" w:rsidRPr="00FB3517">
        <w:rPr>
          <w:rFonts w:ascii="Times New Roman" w:hAnsi="Times New Roman" w:cs="Times New Roman"/>
          <w:sz w:val="24"/>
          <w:szCs w:val="24"/>
          <w:u w:val="single"/>
        </w:rPr>
        <w:t>”</w:t>
      </w:r>
    </w:p>
    <w:p w:rsidR="0030051D" w:rsidRPr="0030051D" w:rsidRDefault="0030051D" w:rsidP="0030051D">
      <w:pPr>
        <w:rPr>
          <w:rFonts w:ascii="Times New Roman" w:hAnsi="Times New Roman" w:cs="Times New Roman"/>
          <w:sz w:val="24"/>
          <w:szCs w:val="24"/>
        </w:rPr>
      </w:pPr>
      <w:r>
        <w:rPr>
          <w:rFonts w:ascii="Times New Roman" w:hAnsi="Times New Roman" w:cs="Times New Roman"/>
          <w:sz w:val="24"/>
          <w:szCs w:val="24"/>
        </w:rPr>
        <w:t xml:space="preserve">Es ilustrativa la Sentencia del </w:t>
      </w:r>
      <w:r w:rsidRPr="0030051D">
        <w:rPr>
          <w:rFonts w:ascii="Times New Roman" w:hAnsi="Times New Roman" w:cs="Times New Roman"/>
          <w:sz w:val="24"/>
          <w:szCs w:val="24"/>
        </w:rPr>
        <w:t xml:space="preserve">Tribunal Supremo de 5 de abril de 2001 (RJ 2001/3030) que resume esta doctrina consolida: </w:t>
      </w:r>
    </w:p>
    <w:p w:rsidR="0030051D" w:rsidRPr="002E6EFC" w:rsidRDefault="0030051D" w:rsidP="0030051D">
      <w:pPr>
        <w:rPr>
          <w:rFonts w:ascii="Times New Roman" w:hAnsi="Times New Roman" w:cs="Times New Roman"/>
          <w:i/>
          <w:sz w:val="24"/>
          <w:szCs w:val="24"/>
        </w:rPr>
      </w:pPr>
      <w:r w:rsidRPr="002E6EFC">
        <w:rPr>
          <w:rFonts w:ascii="Times New Roman" w:hAnsi="Times New Roman" w:cs="Times New Roman"/>
          <w:i/>
          <w:sz w:val="24"/>
          <w:szCs w:val="24"/>
        </w:rPr>
        <w:t>“Sobre el problema más concreto de si una modificación del planeamiento origina la imposibilidad jurídica de ejecución de una sentencia, cuando pretende legalizar aquello que la sentencia anuló, del examen de la jurisprudencia de este Tribunal Supremo sólo puede concluirse lo siguiente: esa modificación no será causa de inejecución de la sentencia si ha sido realizada con la intención de incumplir la sentencia, o mejor, con la intención de que ésta no se ejecute”.</w:t>
      </w:r>
    </w:p>
    <w:p w:rsidR="00D517F1" w:rsidRDefault="0030051D" w:rsidP="0088258F">
      <w:pPr>
        <w:rPr>
          <w:rFonts w:ascii="Times New Roman" w:hAnsi="Times New Roman" w:cs="Times New Roman"/>
          <w:sz w:val="24"/>
          <w:szCs w:val="24"/>
        </w:rPr>
      </w:pPr>
      <w:r>
        <w:rPr>
          <w:rFonts w:ascii="Times New Roman" w:hAnsi="Times New Roman" w:cs="Times New Roman"/>
          <w:sz w:val="24"/>
          <w:szCs w:val="24"/>
        </w:rPr>
        <w:t xml:space="preserve">6º.- </w:t>
      </w:r>
      <w:r w:rsidRPr="00FB3517">
        <w:rPr>
          <w:rFonts w:ascii="Times New Roman" w:hAnsi="Times New Roman" w:cs="Times New Roman"/>
          <w:sz w:val="24"/>
          <w:szCs w:val="24"/>
          <w:u w:val="single"/>
        </w:rPr>
        <w:t>La carga de la prueba</w:t>
      </w:r>
      <w:r>
        <w:rPr>
          <w:rFonts w:ascii="Times New Roman" w:hAnsi="Times New Roman" w:cs="Times New Roman"/>
          <w:sz w:val="24"/>
          <w:szCs w:val="24"/>
        </w:rPr>
        <w:t xml:space="preserve"> corresponde a la Administración que invoca </w:t>
      </w:r>
      <w:r w:rsidR="00883A87">
        <w:rPr>
          <w:rFonts w:ascii="Times New Roman" w:hAnsi="Times New Roman" w:cs="Times New Roman"/>
          <w:sz w:val="24"/>
          <w:szCs w:val="24"/>
        </w:rPr>
        <w:t xml:space="preserve">un cumplimiento alternativo de la Sentencia en el incidente de ejecución; </w:t>
      </w:r>
      <w:r w:rsidR="0088258F" w:rsidRPr="0088258F">
        <w:rPr>
          <w:rFonts w:ascii="Times New Roman" w:hAnsi="Times New Roman" w:cs="Times New Roman"/>
          <w:sz w:val="24"/>
          <w:szCs w:val="24"/>
        </w:rPr>
        <w:t xml:space="preserve"> </w:t>
      </w:r>
    </w:p>
    <w:p w:rsidR="0088258F" w:rsidRPr="00D517F1" w:rsidRDefault="0088258F" w:rsidP="0088258F">
      <w:pPr>
        <w:rPr>
          <w:rFonts w:ascii="Times New Roman" w:hAnsi="Times New Roman" w:cs="Times New Roman"/>
          <w:i/>
          <w:sz w:val="24"/>
          <w:szCs w:val="24"/>
        </w:rPr>
      </w:pPr>
      <w:r w:rsidRPr="0088258F">
        <w:rPr>
          <w:rFonts w:ascii="Times New Roman" w:hAnsi="Times New Roman" w:cs="Times New Roman"/>
          <w:sz w:val="24"/>
          <w:szCs w:val="24"/>
        </w:rPr>
        <w:t xml:space="preserve">Sobre este particular, la STS de Justicia de Andalucía, dictada en fecha 21/06/2012, pronunciándose </w:t>
      </w:r>
      <w:r w:rsidRPr="00FB3517">
        <w:rPr>
          <w:rFonts w:ascii="Times New Roman" w:hAnsi="Times New Roman" w:cs="Times New Roman"/>
          <w:sz w:val="24"/>
          <w:szCs w:val="24"/>
          <w:u w:val="single"/>
        </w:rPr>
        <w:t>a favor</w:t>
      </w:r>
      <w:r w:rsidRPr="0088258F">
        <w:rPr>
          <w:rFonts w:ascii="Times New Roman" w:hAnsi="Times New Roman" w:cs="Times New Roman"/>
          <w:sz w:val="24"/>
          <w:szCs w:val="24"/>
        </w:rPr>
        <w:t xml:space="preserve"> del PGOU de la ciudad de Marbella, mantiene en su F.J. 5, citando a su vez diversa Jurisprudencia que </w:t>
      </w:r>
      <w:r w:rsidRPr="00D517F1">
        <w:rPr>
          <w:rFonts w:ascii="Times New Roman" w:hAnsi="Times New Roman" w:cs="Times New Roman"/>
          <w:i/>
          <w:sz w:val="24"/>
          <w:szCs w:val="24"/>
        </w:rPr>
        <w:t xml:space="preserve">"...La Administración sigue disponiendo de sus facultades de ordenación urbanística y, por tanto, de modificación de las determinaciones aplicables, </w:t>
      </w:r>
      <w:r w:rsidR="00883A87">
        <w:rPr>
          <w:rFonts w:ascii="Times New Roman" w:hAnsi="Times New Roman" w:cs="Times New Roman"/>
          <w:i/>
          <w:sz w:val="24"/>
          <w:szCs w:val="24"/>
        </w:rPr>
        <w:t xml:space="preserve">y </w:t>
      </w:r>
      <w:r w:rsidRPr="00D517F1">
        <w:rPr>
          <w:rFonts w:ascii="Times New Roman" w:hAnsi="Times New Roman" w:cs="Times New Roman"/>
          <w:i/>
          <w:sz w:val="24"/>
          <w:szCs w:val="24"/>
        </w:rPr>
        <w:t>debe, si ello incide sobre actuaciones ya declaradas ilegales en sentencia firme, demostrar que la modificación no tiene la finalidad de convertir lo ilegal en legal, sino la de atender racionalmente al interés público urbanístico".</w:t>
      </w:r>
    </w:p>
    <w:p w:rsidR="0088258F" w:rsidRPr="0088258F" w:rsidRDefault="002E6EFC" w:rsidP="0088258F">
      <w:pPr>
        <w:rPr>
          <w:rFonts w:ascii="Times New Roman" w:hAnsi="Times New Roman" w:cs="Times New Roman"/>
          <w:sz w:val="24"/>
          <w:szCs w:val="24"/>
        </w:rPr>
      </w:pPr>
      <w:r>
        <w:rPr>
          <w:rFonts w:ascii="Times New Roman" w:hAnsi="Times New Roman" w:cs="Times New Roman"/>
          <w:sz w:val="24"/>
          <w:szCs w:val="24"/>
        </w:rPr>
        <w:t>7º</w:t>
      </w:r>
      <w:r w:rsidR="000F6B9B">
        <w:rPr>
          <w:rFonts w:ascii="Times New Roman" w:hAnsi="Times New Roman" w:cs="Times New Roman"/>
          <w:sz w:val="24"/>
          <w:szCs w:val="24"/>
        </w:rPr>
        <w:t xml:space="preserve">.- </w:t>
      </w:r>
      <w:r w:rsidR="0088258F" w:rsidRPr="0088258F">
        <w:rPr>
          <w:rFonts w:ascii="Times New Roman" w:hAnsi="Times New Roman" w:cs="Times New Roman"/>
          <w:sz w:val="24"/>
          <w:szCs w:val="24"/>
        </w:rPr>
        <w:tab/>
      </w:r>
      <w:r w:rsidR="00D517F1">
        <w:rPr>
          <w:rFonts w:ascii="Times New Roman" w:hAnsi="Times New Roman" w:cs="Times New Roman"/>
          <w:sz w:val="24"/>
          <w:szCs w:val="24"/>
        </w:rPr>
        <w:t>“</w:t>
      </w:r>
      <w:r w:rsidR="0088258F" w:rsidRPr="00D517F1">
        <w:rPr>
          <w:rFonts w:ascii="Times New Roman" w:hAnsi="Times New Roman" w:cs="Times New Roman"/>
          <w:i/>
          <w:sz w:val="24"/>
          <w:szCs w:val="24"/>
        </w:rPr>
        <w:t xml:space="preserve">Los terceros adquirentes del edificio cuyo derribo se ordena, o de sus elementos independientes, ni están protegidos por </w:t>
      </w:r>
      <w:r w:rsidR="0088258F" w:rsidRPr="00FB3517">
        <w:rPr>
          <w:rFonts w:ascii="Times New Roman" w:hAnsi="Times New Roman" w:cs="Times New Roman"/>
          <w:i/>
          <w:sz w:val="24"/>
          <w:szCs w:val="24"/>
          <w:u w:val="single"/>
        </w:rPr>
        <w:t>el art. 34 de la Ley Hipotecaria</w:t>
      </w:r>
      <w:r w:rsidR="0088258F" w:rsidRPr="00D517F1">
        <w:rPr>
          <w:rFonts w:ascii="Times New Roman" w:hAnsi="Times New Roman" w:cs="Times New Roman"/>
          <w:i/>
          <w:sz w:val="24"/>
          <w:szCs w:val="24"/>
        </w:rPr>
        <w:t>, ni están exentos de soportar las actuaciones materiales que lícitamente sean necesarias para ejecutar la sentencia; su protección jurídica se mueve por otros cauces</w:t>
      </w:r>
      <w:r w:rsidR="0088258F" w:rsidRPr="0088258F">
        <w:rPr>
          <w:rFonts w:ascii="Times New Roman" w:hAnsi="Times New Roman" w:cs="Times New Roman"/>
          <w:sz w:val="24"/>
          <w:szCs w:val="24"/>
        </w:rPr>
        <w:t>.</w:t>
      </w:r>
      <w:r w:rsidR="00D517F1">
        <w:rPr>
          <w:rFonts w:ascii="Times New Roman" w:hAnsi="Times New Roman" w:cs="Times New Roman"/>
          <w:sz w:val="24"/>
          <w:szCs w:val="24"/>
        </w:rPr>
        <w:t>”</w:t>
      </w:r>
    </w:p>
    <w:p w:rsidR="0088258F" w:rsidRDefault="0088258F" w:rsidP="0088258F">
      <w:pPr>
        <w:rPr>
          <w:rFonts w:ascii="Times New Roman" w:hAnsi="Times New Roman" w:cs="Times New Roman"/>
          <w:sz w:val="24"/>
          <w:szCs w:val="24"/>
        </w:rPr>
      </w:pPr>
      <w:r w:rsidRPr="0088258F">
        <w:rPr>
          <w:rFonts w:ascii="Times New Roman" w:hAnsi="Times New Roman" w:cs="Times New Roman"/>
          <w:sz w:val="24"/>
          <w:szCs w:val="24"/>
        </w:rPr>
        <w:t xml:space="preserve">Pero no están protegidos por el art. 34 de la LH porque éste protege el derecho real, que pervive aunque después se anule o resuelva el del otorgante o transmitente. Y no están exentos de soportar aquellas actuaciones materiales porque el nuevo titular queda subrogado en el lugar y puesto del anterior propietario en sus derechos y deberes urbanísticos, siendo tales deberes urbanísticos los que vengan concretados en el instrumento de </w:t>
      </w:r>
      <w:proofErr w:type="spellStart"/>
      <w:r w:rsidRPr="0088258F">
        <w:rPr>
          <w:rFonts w:ascii="Times New Roman" w:hAnsi="Times New Roman" w:cs="Times New Roman"/>
          <w:sz w:val="24"/>
          <w:szCs w:val="24"/>
        </w:rPr>
        <w:t>planeamietno</w:t>
      </w:r>
      <w:proofErr w:type="spellEnd"/>
      <w:r w:rsidRPr="0088258F">
        <w:rPr>
          <w:rFonts w:ascii="Times New Roman" w:hAnsi="Times New Roman" w:cs="Times New Roman"/>
          <w:sz w:val="24"/>
          <w:szCs w:val="24"/>
        </w:rPr>
        <w:t xml:space="preserve"> general cuya aplicación supone causa de imposibilidad legal de ejec</w:t>
      </w:r>
      <w:r w:rsidR="00FD01F3">
        <w:rPr>
          <w:rFonts w:ascii="Times New Roman" w:hAnsi="Times New Roman" w:cs="Times New Roman"/>
          <w:sz w:val="24"/>
          <w:szCs w:val="24"/>
        </w:rPr>
        <w:t>utar una sentencia de demolición.</w:t>
      </w:r>
    </w:p>
    <w:p w:rsidR="00FD01F3" w:rsidRDefault="00FB3517" w:rsidP="0088258F">
      <w:pPr>
        <w:rPr>
          <w:rFonts w:ascii="Times New Roman" w:hAnsi="Times New Roman" w:cs="Times New Roman"/>
          <w:sz w:val="24"/>
          <w:szCs w:val="24"/>
        </w:rPr>
      </w:pPr>
      <w:r>
        <w:rPr>
          <w:rFonts w:ascii="Times New Roman" w:hAnsi="Times New Roman" w:cs="Times New Roman"/>
          <w:sz w:val="24"/>
          <w:szCs w:val="24"/>
        </w:rPr>
        <w:t xml:space="preserve">Sobre este último condicionante que nos recuerda la Jurisprudencia, </w:t>
      </w:r>
      <w:r w:rsidR="00846C8E">
        <w:rPr>
          <w:rFonts w:ascii="Times New Roman" w:hAnsi="Times New Roman" w:cs="Times New Roman"/>
          <w:sz w:val="24"/>
          <w:szCs w:val="24"/>
        </w:rPr>
        <w:t xml:space="preserve"> </w:t>
      </w:r>
      <w:r>
        <w:rPr>
          <w:rFonts w:ascii="Times New Roman" w:hAnsi="Times New Roman" w:cs="Times New Roman"/>
          <w:sz w:val="24"/>
          <w:szCs w:val="24"/>
        </w:rPr>
        <w:t xml:space="preserve">derivado de la naturaleza </w:t>
      </w:r>
      <w:r w:rsidR="00BE210F">
        <w:rPr>
          <w:rFonts w:ascii="Times New Roman" w:hAnsi="Times New Roman" w:cs="Times New Roman"/>
          <w:sz w:val="24"/>
          <w:szCs w:val="24"/>
        </w:rPr>
        <w:t>“</w:t>
      </w:r>
      <w:proofErr w:type="spellStart"/>
      <w:r>
        <w:rPr>
          <w:rFonts w:ascii="Times New Roman" w:hAnsi="Times New Roman" w:cs="Times New Roman"/>
          <w:sz w:val="24"/>
          <w:szCs w:val="24"/>
        </w:rPr>
        <w:t>ob</w:t>
      </w:r>
      <w:proofErr w:type="spellEnd"/>
      <w:r>
        <w:rPr>
          <w:rFonts w:ascii="Times New Roman" w:hAnsi="Times New Roman" w:cs="Times New Roman"/>
          <w:sz w:val="24"/>
          <w:szCs w:val="24"/>
        </w:rPr>
        <w:t xml:space="preserve"> rem</w:t>
      </w:r>
      <w:r w:rsidR="00BE210F">
        <w:rPr>
          <w:rFonts w:ascii="Times New Roman" w:hAnsi="Times New Roman" w:cs="Times New Roman"/>
          <w:sz w:val="24"/>
          <w:szCs w:val="24"/>
        </w:rPr>
        <w:t>”</w:t>
      </w:r>
      <w:r>
        <w:rPr>
          <w:rFonts w:ascii="Times New Roman" w:hAnsi="Times New Roman" w:cs="Times New Roman"/>
          <w:sz w:val="24"/>
          <w:szCs w:val="24"/>
        </w:rPr>
        <w:t xml:space="preserve"> y no personal de las cargas urbanísticas</w:t>
      </w:r>
      <w:r w:rsidR="002E6EFC">
        <w:rPr>
          <w:rFonts w:ascii="Times New Roman" w:hAnsi="Times New Roman" w:cs="Times New Roman"/>
          <w:sz w:val="24"/>
          <w:szCs w:val="24"/>
        </w:rPr>
        <w:t>,</w:t>
      </w:r>
      <w:r>
        <w:rPr>
          <w:rFonts w:ascii="Times New Roman" w:hAnsi="Times New Roman" w:cs="Times New Roman"/>
          <w:sz w:val="24"/>
          <w:szCs w:val="24"/>
        </w:rPr>
        <w:t xml:space="preserve"> sólo citar de pasada la </w:t>
      </w:r>
      <w:r w:rsidR="00846C8E">
        <w:rPr>
          <w:rFonts w:ascii="Times New Roman" w:hAnsi="Times New Roman" w:cs="Times New Roman"/>
          <w:sz w:val="24"/>
          <w:szCs w:val="24"/>
        </w:rPr>
        <w:t xml:space="preserve">previsión contenida en la  </w:t>
      </w:r>
      <w:r w:rsidR="00BE210F" w:rsidRPr="00BE210F">
        <w:rPr>
          <w:rFonts w:ascii="Times New Roman" w:hAnsi="Times New Roman" w:cs="Times New Roman"/>
          <w:sz w:val="24"/>
          <w:szCs w:val="24"/>
        </w:rPr>
        <w:t xml:space="preserve">Disposición Final Cuarta de la Ley </w:t>
      </w:r>
      <w:r w:rsidR="00846C8E">
        <w:rPr>
          <w:rFonts w:ascii="Times New Roman" w:hAnsi="Times New Roman" w:cs="Times New Roman"/>
          <w:sz w:val="24"/>
          <w:szCs w:val="24"/>
        </w:rPr>
        <w:t xml:space="preserve">Orgánica </w:t>
      </w:r>
      <w:r w:rsidR="00BE210F" w:rsidRPr="00BE210F">
        <w:rPr>
          <w:rFonts w:ascii="Times New Roman" w:hAnsi="Times New Roman" w:cs="Times New Roman"/>
          <w:sz w:val="24"/>
          <w:szCs w:val="24"/>
        </w:rPr>
        <w:t xml:space="preserve">7/2015, </w:t>
      </w:r>
      <w:r w:rsidR="00846C8E">
        <w:rPr>
          <w:rFonts w:ascii="Times New Roman" w:hAnsi="Times New Roman" w:cs="Times New Roman"/>
          <w:sz w:val="24"/>
          <w:szCs w:val="24"/>
        </w:rPr>
        <w:t xml:space="preserve">de 21 de Julio, que </w:t>
      </w:r>
      <w:r w:rsidR="00BE210F" w:rsidRPr="00BE210F">
        <w:rPr>
          <w:rFonts w:ascii="Times New Roman" w:hAnsi="Times New Roman" w:cs="Times New Roman"/>
          <w:sz w:val="24"/>
          <w:szCs w:val="24"/>
        </w:rPr>
        <w:t>introdu</w:t>
      </w:r>
      <w:r w:rsidR="00846C8E">
        <w:rPr>
          <w:rFonts w:ascii="Times New Roman" w:hAnsi="Times New Roman" w:cs="Times New Roman"/>
          <w:sz w:val="24"/>
          <w:szCs w:val="24"/>
        </w:rPr>
        <w:t>ce</w:t>
      </w:r>
      <w:r w:rsidR="00BE210F" w:rsidRPr="00BE210F">
        <w:rPr>
          <w:rFonts w:ascii="Times New Roman" w:hAnsi="Times New Roman" w:cs="Times New Roman"/>
          <w:sz w:val="24"/>
          <w:szCs w:val="24"/>
        </w:rPr>
        <w:t xml:space="preserve"> un nuevo número 3 al art. 108 de la LJCA </w:t>
      </w:r>
      <w:r w:rsidR="00846C8E">
        <w:rPr>
          <w:rFonts w:ascii="Times New Roman" w:hAnsi="Times New Roman" w:cs="Times New Roman"/>
          <w:sz w:val="24"/>
          <w:szCs w:val="24"/>
        </w:rPr>
        <w:t xml:space="preserve">según el cual </w:t>
      </w:r>
      <w:r w:rsidR="00BE210F" w:rsidRPr="00BE210F">
        <w:rPr>
          <w:rFonts w:ascii="Times New Roman" w:hAnsi="Times New Roman" w:cs="Times New Roman"/>
          <w:sz w:val="24"/>
          <w:szCs w:val="24"/>
        </w:rPr>
        <w:t>“</w:t>
      </w:r>
      <w:r w:rsidR="00BE210F" w:rsidRPr="00846C8E">
        <w:rPr>
          <w:rFonts w:ascii="Times New Roman" w:hAnsi="Times New Roman" w:cs="Times New Roman"/>
          <w:i/>
          <w:sz w:val="24"/>
          <w:szCs w:val="24"/>
        </w:rPr>
        <w:t xml:space="preserve">El Juez o Tribunal, en los casos en que, además de declarar contraria a la normativa la construcción de un inmueble, ordene motivadamente la </w:t>
      </w:r>
      <w:r w:rsidR="00BE210F" w:rsidRPr="00846C8E">
        <w:rPr>
          <w:rFonts w:ascii="Times New Roman" w:hAnsi="Times New Roman" w:cs="Times New Roman"/>
          <w:i/>
          <w:sz w:val="24"/>
          <w:szCs w:val="24"/>
        </w:rPr>
        <w:lastRenderedPageBreak/>
        <w:t>demolición del mismo y la reposición a su estado originario de la realidad física alterada, exigirá, como condición previa a la demolición, y salvo que una situación de peligro inminente lo impidiera, la prestación de garantías suficientes para responder del pago de las indemnizaciones debidas a terceros de buena fe</w:t>
      </w:r>
      <w:r w:rsidR="00BE210F" w:rsidRPr="00BE210F">
        <w:rPr>
          <w:rFonts w:ascii="Times New Roman" w:hAnsi="Times New Roman" w:cs="Times New Roman"/>
          <w:sz w:val="24"/>
          <w:szCs w:val="24"/>
        </w:rPr>
        <w:t>.»</w:t>
      </w:r>
    </w:p>
    <w:p w:rsidR="00FB3517" w:rsidRDefault="00FB3517" w:rsidP="0088258F">
      <w:pPr>
        <w:rPr>
          <w:rFonts w:ascii="Times New Roman" w:hAnsi="Times New Roman" w:cs="Times New Roman"/>
          <w:sz w:val="24"/>
          <w:szCs w:val="24"/>
        </w:rPr>
      </w:pPr>
    </w:p>
    <w:p w:rsidR="00FD01F3" w:rsidRDefault="00FD01F3" w:rsidP="00FD01F3">
      <w:pPr>
        <w:rPr>
          <w:rFonts w:ascii="Times New Roman" w:hAnsi="Times New Roman" w:cs="Times New Roman"/>
          <w:i/>
          <w:sz w:val="24"/>
          <w:szCs w:val="24"/>
        </w:rPr>
      </w:pPr>
      <w:r>
        <w:rPr>
          <w:rFonts w:ascii="Times New Roman" w:hAnsi="Times New Roman" w:cs="Times New Roman"/>
          <w:sz w:val="24"/>
          <w:szCs w:val="24"/>
        </w:rPr>
        <w:t>Pero frente a tales condicionantes, e incluso a pesar de que en instancias judiciales inferiores se hayan valorado los mismos y se haya reconocido la validez de Planes Generales</w:t>
      </w:r>
      <w:r w:rsidR="002E6EFC">
        <w:rPr>
          <w:rFonts w:ascii="Times New Roman" w:hAnsi="Times New Roman" w:cs="Times New Roman"/>
          <w:sz w:val="24"/>
          <w:szCs w:val="24"/>
        </w:rPr>
        <w:t xml:space="preserve"> posteriormente declarados nulos</w:t>
      </w:r>
      <w:r>
        <w:rPr>
          <w:rFonts w:ascii="Times New Roman" w:hAnsi="Times New Roman" w:cs="Times New Roman"/>
          <w:sz w:val="24"/>
          <w:szCs w:val="24"/>
        </w:rPr>
        <w:t xml:space="preserve">, corresponde en última instancia al Tribunal Supremo resolver en casación los recursos que sobre dichos Planes Urbanísticos  lleguen a su sede. En este punto destaco las tres Sentencias </w:t>
      </w:r>
      <w:r w:rsidR="005D4269">
        <w:rPr>
          <w:rFonts w:ascii="Times New Roman" w:hAnsi="Times New Roman" w:cs="Times New Roman"/>
          <w:sz w:val="24"/>
          <w:szCs w:val="24"/>
        </w:rPr>
        <w:t xml:space="preserve">dictadas por el </w:t>
      </w:r>
      <w:r w:rsidRPr="00FD01F3">
        <w:rPr>
          <w:rFonts w:ascii="Times New Roman" w:hAnsi="Times New Roman" w:cs="Times New Roman"/>
          <w:sz w:val="24"/>
          <w:szCs w:val="24"/>
        </w:rPr>
        <w:t>Tribunal Supremo</w:t>
      </w:r>
      <w:r w:rsidR="005D4269">
        <w:rPr>
          <w:rFonts w:ascii="Times New Roman" w:hAnsi="Times New Roman" w:cs="Times New Roman"/>
          <w:sz w:val="24"/>
          <w:szCs w:val="24"/>
        </w:rPr>
        <w:t xml:space="preserve"> e</w:t>
      </w:r>
      <w:r w:rsidRPr="00FD01F3">
        <w:rPr>
          <w:rFonts w:ascii="Times New Roman" w:hAnsi="Times New Roman" w:cs="Times New Roman"/>
          <w:sz w:val="24"/>
          <w:szCs w:val="24"/>
        </w:rPr>
        <w:t>n fechas 27 y 28 de Octubre de 2015,</w:t>
      </w:r>
      <w:r w:rsidR="005D4269" w:rsidRPr="005D4269">
        <w:t xml:space="preserve"> </w:t>
      </w:r>
      <w:r w:rsidR="005D4269" w:rsidRPr="005D4269">
        <w:rPr>
          <w:rFonts w:ascii="Times New Roman" w:hAnsi="Times New Roman" w:cs="Times New Roman"/>
          <w:sz w:val="24"/>
          <w:szCs w:val="24"/>
        </w:rPr>
        <w:t xml:space="preserve"> (RJ 2015/5582), (RJ 2015/75581), y (JUR 2015/253118)]</w:t>
      </w:r>
      <w:r w:rsidR="005D4269">
        <w:rPr>
          <w:rFonts w:ascii="Times New Roman" w:hAnsi="Times New Roman" w:cs="Times New Roman"/>
          <w:sz w:val="24"/>
          <w:szCs w:val="24"/>
        </w:rPr>
        <w:t xml:space="preserve">, </w:t>
      </w:r>
      <w:r w:rsidRPr="00FD01F3">
        <w:rPr>
          <w:rFonts w:ascii="Times New Roman" w:hAnsi="Times New Roman" w:cs="Times New Roman"/>
          <w:sz w:val="24"/>
          <w:szCs w:val="24"/>
        </w:rPr>
        <w:t xml:space="preserve"> resolviendo tres recursos de casación promovidos por distintas promotoras de Marbella </w:t>
      </w:r>
      <w:r w:rsidR="005D4269">
        <w:rPr>
          <w:rFonts w:ascii="Times New Roman" w:hAnsi="Times New Roman" w:cs="Times New Roman"/>
          <w:sz w:val="24"/>
          <w:szCs w:val="24"/>
        </w:rPr>
        <w:t xml:space="preserve">en las que se </w:t>
      </w:r>
      <w:r w:rsidRPr="00FD01F3">
        <w:rPr>
          <w:rFonts w:ascii="Times New Roman" w:hAnsi="Times New Roman" w:cs="Times New Roman"/>
          <w:sz w:val="24"/>
          <w:szCs w:val="24"/>
        </w:rPr>
        <w:t xml:space="preserve">declara la nulidad del </w:t>
      </w:r>
      <w:r w:rsidR="005D4269" w:rsidRPr="000E678A">
        <w:rPr>
          <w:rFonts w:ascii="Times New Roman" w:hAnsi="Times New Roman" w:cs="Times New Roman"/>
          <w:b/>
          <w:sz w:val="24"/>
          <w:szCs w:val="24"/>
        </w:rPr>
        <w:t>PGOU de la ciudad de Marbella</w:t>
      </w:r>
      <w:r w:rsidR="005D4269">
        <w:rPr>
          <w:rFonts w:ascii="Times New Roman" w:hAnsi="Times New Roman" w:cs="Times New Roman"/>
          <w:sz w:val="24"/>
          <w:szCs w:val="24"/>
        </w:rPr>
        <w:t xml:space="preserve"> </w:t>
      </w:r>
      <w:r w:rsidR="005D4269" w:rsidRPr="005D4269">
        <w:rPr>
          <w:rFonts w:ascii="Times New Roman" w:hAnsi="Times New Roman" w:cs="Times New Roman"/>
          <w:i/>
          <w:sz w:val="24"/>
          <w:szCs w:val="24"/>
        </w:rPr>
        <w:t xml:space="preserve">“por razones que afectan al núcleo mismo del instrumento de planeamiento, esto es, a la naturaleza y finalidad del citado Plan General, y que resume el Alto Tribunal en la carencia de amparo en la potestad de planeamiento ejercitada para llevar a cabo una regulación como la que se efectúa, presidida por la consideración de que el Plan se proyecta más sobre el pasado que sobre el futuro, dado el designio de normalización o regularización de situaciones urbanísticas ya consumadas que se reconoce como objetivo primordial en la Memoria de información”.  </w:t>
      </w:r>
    </w:p>
    <w:p w:rsidR="000E678A" w:rsidRDefault="005D4269" w:rsidP="00FD01F3">
      <w:pPr>
        <w:rPr>
          <w:rFonts w:ascii="Times New Roman" w:hAnsi="Times New Roman" w:cs="Times New Roman"/>
          <w:sz w:val="24"/>
          <w:szCs w:val="24"/>
        </w:rPr>
      </w:pPr>
      <w:r>
        <w:rPr>
          <w:rFonts w:ascii="Times New Roman" w:hAnsi="Times New Roman" w:cs="Times New Roman"/>
          <w:sz w:val="24"/>
          <w:szCs w:val="24"/>
        </w:rPr>
        <w:t xml:space="preserve">Las tres sentencias del Tribunal Supremo son coincidentes –con algunos matices- en sus fundamentos jurídicos y se mantiene en todas que;  </w:t>
      </w:r>
    </w:p>
    <w:p w:rsidR="000E678A" w:rsidRDefault="000E678A" w:rsidP="00FD01F3">
      <w:pPr>
        <w:rPr>
          <w:rFonts w:ascii="Times New Roman" w:hAnsi="Times New Roman" w:cs="Times New Roman"/>
          <w:i/>
          <w:sz w:val="24"/>
          <w:szCs w:val="24"/>
        </w:rPr>
      </w:pPr>
      <w:r w:rsidRPr="000E678A">
        <w:rPr>
          <w:rFonts w:ascii="Times New Roman" w:hAnsi="Times New Roman" w:cs="Times New Roman"/>
          <w:i/>
          <w:sz w:val="24"/>
          <w:szCs w:val="24"/>
        </w:rPr>
        <w:t>1</w:t>
      </w:r>
      <w:r>
        <w:rPr>
          <w:rFonts w:ascii="Times New Roman" w:hAnsi="Times New Roman" w:cs="Times New Roman"/>
          <w:i/>
          <w:sz w:val="24"/>
          <w:szCs w:val="24"/>
        </w:rPr>
        <w:t>º</w:t>
      </w:r>
      <w:r w:rsidRPr="000E678A">
        <w:rPr>
          <w:rFonts w:ascii="Times New Roman" w:hAnsi="Times New Roman" w:cs="Times New Roman"/>
          <w:i/>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005D4269" w:rsidRPr="005D4269">
        <w:rPr>
          <w:rFonts w:ascii="Times New Roman" w:hAnsi="Times New Roman" w:cs="Times New Roman"/>
          <w:sz w:val="24"/>
          <w:szCs w:val="24"/>
        </w:rPr>
        <w:t xml:space="preserve">“ </w:t>
      </w:r>
      <w:r w:rsidR="005D4269" w:rsidRPr="005D4269">
        <w:rPr>
          <w:rFonts w:ascii="Times New Roman" w:hAnsi="Times New Roman" w:cs="Times New Roman"/>
          <w:i/>
          <w:sz w:val="24"/>
          <w:szCs w:val="24"/>
        </w:rPr>
        <w:t>No</w:t>
      </w:r>
      <w:proofErr w:type="gramEnd"/>
      <w:r w:rsidR="005D4269" w:rsidRPr="005D4269">
        <w:rPr>
          <w:rFonts w:ascii="Times New Roman" w:hAnsi="Times New Roman" w:cs="Times New Roman"/>
          <w:i/>
          <w:sz w:val="24"/>
          <w:szCs w:val="24"/>
        </w:rPr>
        <w:t xml:space="preserve"> resulta posible, pues, compatibilizar la normalización (vía obtención dotacional) sin tomar en consideración, con toda su potencialidad y eficacia, las nulidades jurisdiccionalmente declaradas, pues, se insiste, </w:t>
      </w:r>
      <w:r w:rsidR="005D4269" w:rsidRPr="006137BE">
        <w:rPr>
          <w:rFonts w:ascii="Times New Roman" w:hAnsi="Times New Roman" w:cs="Times New Roman"/>
          <w:i/>
          <w:sz w:val="24"/>
          <w:szCs w:val="24"/>
          <w:u w:val="single"/>
        </w:rPr>
        <w:t>no resulta posible legalización alguna, en función -sin más- del nuevo planeamiento, por cuanto, de forma individualizada, ha de recorrer el proceso de legalización por la vía de la imposibilidad legal de ejecución de la sentencia</w:t>
      </w:r>
      <w:r w:rsidR="005D4269" w:rsidRPr="005D4269">
        <w:rPr>
          <w:rFonts w:ascii="Times New Roman" w:hAnsi="Times New Roman" w:cs="Times New Roman"/>
          <w:i/>
          <w:sz w:val="24"/>
          <w:szCs w:val="24"/>
        </w:rPr>
        <w:t>. Las ilegalidades, pues, no admiten ejecución por la vía de las alternativas del planeamiento. El cometido de todo plan consiste en la consecución de una ordenación racional del espacio físico comprendido dentro de su respectivo ámbito.</w:t>
      </w:r>
    </w:p>
    <w:p w:rsidR="005D4269" w:rsidRPr="005D4269" w:rsidRDefault="000E678A" w:rsidP="00FD01F3">
      <w:pPr>
        <w:rPr>
          <w:rFonts w:ascii="Times New Roman" w:hAnsi="Times New Roman" w:cs="Times New Roman"/>
          <w:i/>
          <w:sz w:val="24"/>
          <w:szCs w:val="24"/>
        </w:rPr>
      </w:pPr>
      <w:r>
        <w:rPr>
          <w:rFonts w:ascii="Times New Roman" w:hAnsi="Times New Roman" w:cs="Times New Roman"/>
          <w:i/>
          <w:sz w:val="24"/>
          <w:szCs w:val="24"/>
        </w:rPr>
        <w:t xml:space="preserve">2º.- </w:t>
      </w:r>
      <w:r>
        <w:rPr>
          <w:rFonts w:ascii="Times New Roman" w:hAnsi="Times New Roman" w:cs="Times New Roman"/>
          <w:i/>
          <w:sz w:val="24"/>
          <w:szCs w:val="24"/>
        </w:rPr>
        <w:tab/>
        <w:t>“S</w:t>
      </w:r>
      <w:r w:rsidR="005D4269" w:rsidRPr="005D4269">
        <w:rPr>
          <w:rFonts w:ascii="Times New Roman" w:hAnsi="Times New Roman" w:cs="Times New Roman"/>
          <w:i/>
          <w:sz w:val="24"/>
          <w:szCs w:val="24"/>
        </w:rPr>
        <w:t>e desnaturaliza la auténtica finalidad de los planes si se apartan de la finalidad que les es propia y buscan satisfacer otra en su lugar o junto a ella. En definitiva, sólo en la medida en que sirvan a su finalidad típica vendrá a estar justificado el ejercicio de la potestad de planeamiento por parte de la Administración.”</w:t>
      </w:r>
    </w:p>
    <w:p w:rsidR="000E678A" w:rsidRPr="000E678A" w:rsidRDefault="000E678A" w:rsidP="000E678A">
      <w:pPr>
        <w:rPr>
          <w:rFonts w:ascii="Times New Roman" w:hAnsi="Times New Roman" w:cs="Times New Roman"/>
          <w:sz w:val="24"/>
          <w:szCs w:val="24"/>
        </w:rPr>
      </w:pPr>
      <w:r>
        <w:rPr>
          <w:rFonts w:ascii="Times New Roman" w:hAnsi="Times New Roman" w:cs="Times New Roman"/>
          <w:sz w:val="24"/>
          <w:szCs w:val="24"/>
        </w:rPr>
        <w:t xml:space="preserve">3º.- </w:t>
      </w:r>
      <w:r>
        <w:rPr>
          <w:rFonts w:ascii="Times New Roman" w:hAnsi="Times New Roman" w:cs="Times New Roman"/>
          <w:sz w:val="24"/>
          <w:szCs w:val="24"/>
        </w:rPr>
        <w:tab/>
      </w:r>
      <w:r w:rsidRPr="000E678A">
        <w:rPr>
          <w:rFonts w:ascii="Times New Roman" w:hAnsi="Times New Roman" w:cs="Times New Roman"/>
          <w:i/>
          <w:sz w:val="24"/>
          <w:szCs w:val="24"/>
        </w:rPr>
        <w:t xml:space="preserve">Será, por tanto, el órgano jurisdiccional el que, valorando las observaciones efectuadas y, atendiendo a la existencia de acreditados terceros registrales, decidirá lo procedente en cada caso concreto, pues </w:t>
      </w:r>
      <w:r w:rsidRPr="006137BE">
        <w:rPr>
          <w:rFonts w:ascii="Times New Roman" w:hAnsi="Times New Roman" w:cs="Times New Roman"/>
          <w:i/>
          <w:sz w:val="24"/>
          <w:szCs w:val="24"/>
          <w:u w:val="single"/>
        </w:rPr>
        <w:t>no resulta de recibo pretender aislar o blindar jurídicamente situaciones de infracción judicialmente declaradas al socaire de un nuevo -e incluso integral y completo-  planeamiento frente a la potencialidad jurídica de una resolución judicial frut</w:t>
      </w:r>
      <w:r w:rsidRPr="000E678A">
        <w:rPr>
          <w:rFonts w:ascii="Times New Roman" w:hAnsi="Times New Roman" w:cs="Times New Roman"/>
          <w:i/>
          <w:sz w:val="24"/>
          <w:szCs w:val="24"/>
        </w:rPr>
        <w:t>o de un procedimiento contradictorio que ha decidido sobre los derechos de los particulares y sobre la legalidad de la actuación administrativa.</w:t>
      </w:r>
      <w:r w:rsidRPr="000E678A">
        <w:rPr>
          <w:rFonts w:ascii="Times New Roman" w:hAnsi="Times New Roman" w:cs="Times New Roman"/>
          <w:sz w:val="24"/>
          <w:szCs w:val="24"/>
        </w:rPr>
        <w:t xml:space="preserve">  </w:t>
      </w:r>
    </w:p>
    <w:p w:rsidR="000E678A" w:rsidRPr="000E678A" w:rsidRDefault="000E678A" w:rsidP="000E678A">
      <w:pPr>
        <w:rPr>
          <w:rFonts w:ascii="Times New Roman" w:hAnsi="Times New Roman" w:cs="Times New Roman"/>
          <w:sz w:val="24"/>
          <w:szCs w:val="24"/>
        </w:rPr>
      </w:pPr>
      <w:r w:rsidRPr="000E678A">
        <w:rPr>
          <w:rFonts w:ascii="Times New Roman" w:hAnsi="Times New Roman" w:cs="Times New Roman"/>
          <w:i/>
          <w:sz w:val="24"/>
          <w:szCs w:val="24"/>
        </w:rPr>
        <w:lastRenderedPageBreak/>
        <w:t>4º.-</w:t>
      </w:r>
      <w:r>
        <w:rPr>
          <w:rFonts w:ascii="Times New Roman" w:hAnsi="Times New Roman" w:cs="Times New Roman"/>
          <w:sz w:val="24"/>
          <w:szCs w:val="24"/>
        </w:rPr>
        <w:t xml:space="preserve"> </w:t>
      </w:r>
      <w:r>
        <w:rPr>
          <w:rFonts w:ascii="Times New Roman" w:hAnsi="Times New Roman" w:cs="Times New Roman"/>
          <w:sz w:val="24"/>
          <w:szCs w:val="24"/>
        </w:rPr>
        <w:tab/>
      </w:r>
      <w:r w:rsidRPr="00DD041F">
        <w:rPr>
          <w:rFonts w:ascii="Times New Roman" w:hAnsi="Times New Roman" w:cs="Times New Roman"/>
          <w:i/>
          <w:sz w:val="24"/>
          <w:szCs w:val="24"/>
          <w:u w:val="single"/>
        </w:rPr>
        <w:t>Este tipo de planeamiento, pues, no cuenta con respaldo legislativo, pues el mismo no contempla “hacer ciudad” sino “rehacer ciudad”,</w:t>
      </w:r>
      <w:r w:rsidRPr="000E678A">
        <w:rPr>
          <w:rFonts w:ascii="Times New Roman" w:hAnsi="Times New Roman" w:cs="Times New Roman"/>
          <w:i/>
          <w:sz w:val="24"/>
          <w:szCs w:val="24"/>
        </w:rPr>
        <w:t xml:space="preserve"> </w:t>
      </w:r>
      <w:r w:rsidRPr="00733746">
        <w:rPr>
          <w:rFonts w:ascii="Times New Roman" w:hAnsi="Times New Roman" w:cs="Times New Roman"/>
          <w:i/>
          <w:sz w:val="24"/>
          <w:szCs w:val="24"/>
          <w:u w:val="single"/>
        </w:rPr>
        <w:t>pero rehacerla, no porque se pretenda su rehabilitación, regeneración o renovación, sino porque la hecha en el pasado lo ha sido de forma ilegal</w:t>
      </w:r>
      <w:r w:rsidRPr="000E678A">
        <w:rPr>
          <w:rFonts w:ascii="Times New Roman" w:hAnsi="Times New Roman" w:cs="Times New Roman"/>
          <w:i/>
          <w:sz w:val="24"/>
          <w:szCs w:val="24"/>
        </w:rPr>
        <w:t>. Por ello, su destino, su razón de ser, no es el futuro de Marbella, sino su pasado. Da la sensación que exigencias de nuevas dotaciones no vienen impuestas por el nuevo Plan, sino que se imponen como consecuencia de las ilegalidades derivadas del incumplimiento del Plan anterior.</w:t>
      </w:r>
      <w:r w:rsidRPr="000E678A">
        <w:rPr>
          <w:rFonts w:ascii="Times New Roman" w:hAnsi="Times New Roman" w:cs="Times New Roman"/>
          <w:sz w:val="24"/>
          <w:szCs w:val="24"/>
        </w:rPr>
        <w:t xml:space="preserve"> </w:t>
      </w:r>
    </w:p>
    <w:p w:rsidR="005D4269" w:rsidRPr="000E678A" w:rsidRDefault="000E678A" w:rsidP="000E678A">
      <w:pPr>
        <w:rPr>
          <w:rFonts w:ascii="Times New Roman" w:hAnsi="Times New Roman" w:cs="Times New Roman"/>
          <w:i/>
          <w:sz w:val="24"/>
          <w:szCs w:val="24"/>
        </w:rPr>
      </w:pPr>
      <w:r>
        <w:rPr>
          <w:rFonts w:ascii="Times New Roman" w:hAnsi="Times New Roman" w:cs="Times New Roman"/>
          <w:sz w:val="24"/>
          <w:szCs w:val="24"/>
        </w:rPr>
        <w:t xml:space="preserve">5º.- </w:t>
      </w:r>
      <w:r>
        <w:rPr>
          <w:rFonts w:ascii="Times New Roman" w:hAnsi="Times New Roman" w:cs="Times New Roman"/>
          <w:sz w:val="24"/>
          <w:szCs w:val="24"/>
        </w:rPr>
        <w:tab/>
        <w:t>“</w:t>
      </w:r>
      <w:r w:rsidRPr="000E678A">
        <w:rPr>
          <w:rFonts w:ascii="Times New Roman" w:hAnsi="Times New Roman" w:cs="Times New Roman"/>
          <w:i/>
          <w:sz w:val="24"/>
          <w:szCs w:val="24"/>
        </w:rPr>
        <w:t>En el caso que nos ocupa la normalización viene a erigirse en una de las directrices básicas del PGOU de Marbella, y de este modo, puede colegirse, el PGOU se aparta de la finalidad típica que le es propia y que tiene asignada por el ordenamiento jurídico.</w:t>
      </w:r>
    </w:p>
    <w:p w:rsidR="00FD01F3" w:rsidRDefault="000E678A" w:rsidP="0088258F">
      <w:pPr>
        <w:rPr>
          <w:rFonts w:ascii="Times New Roman" w:hAnsi="Times New Roman" w:cs="Times New Roman"/>
          <w:sz w:val="24"/>
          <w:szCs w:val="24"/>
        </w:rPr>
      </w:pPr>
      <w:r w:rsidRPr="000E678A">
        <w:rPr>
          <w:rFonts w:ascii="Times New Roman" w:hAnsi="Times New Roman" w:cs="Times New Roman"/>
          <w:sz w:val="24"/>
          <w:szCs w:val="24"/>
        </w:rPr>
        <w:t>Este Plan General de Ordenación Urbanística de Marbella ha sido también declarado nulo por Sentencia del mismo Tribunal Supremo STS de 19 abril 2016 (JUR 2016/86757).</w:t>
      </w:r>
    </w:p>
    <w:p w:rsidR="00FD01F3" w:rsidRDefault="00FD01F3" w:rsidP="0088258F">
      <w:pPr>
        <w:rPr>
          <w:rFonts w:ascii="Times New Roman" w:hAnsi="Times New Roman" w:cs="Times New Roman"/>
          <w:sz w:val="24"/>
          <w:szCs w:val="24"/>
        </w:rPr>
      </w:pPr>
    </w:p>
    <w:p w:rsidR="000E678A" w:rsidRDefault="000E678A" w:rsidP="0088258F">
      <w:pPr>
        <w:rPr>
          <w:rFonts w:ascii="Times New Roman" w:hAnsi="Times New Roman" w:cs="Times New Roman"/>
          <w:sz w:val="24"/>
          <w:szCs w:val="24"/>
        </w:rPr>
      </w:pPr>
      <w:r>
        <w:rPr>
          <w:rFonts w:ascii="Times New Roman" w:hAnsi="Times New Roman" w:cs="Times New Roman"/>
          <w:sz w:val="24"/>
          <w:szCs w:val="24"/>
        </w:rPr>
        <w:t xml:space="preserve">Quisiera hacer mención a una última cuestión que también puede resultar interesante y lo constituye la actuación de </w:t>
      </w:r>
      <w:r w:rsidRPr="0085610D">
        <w:rPr>
          <w:rFonts w:ascii="Times New Roman" w:hAnsi="Times New Roman" w:cs="Times New Roman"/>
          <w:b/>
          <w:sz w:val="24"/>
          <w:szCs w:val="24"/>
        </w:rPr>
        <w:t xml:space="preserve">Leyes urbanísticas autonómicas </w:t>
      </w:r>
      <w:r w:rsidR="000372AE">
        <w:rPr>
          <w:rFonts w:ascii="Times New Roman" w:hAnsi="Times New Roman" w:cs="Times New Roman"/>
          <w:b/>
          <w:sz w:val="24"/>
          <w:szCs w:val="24"/>
        </w:rPr>
        <w:t xml:space="preserve">legítimamente aprobadas pero </w:t>
      </w:r>
      <w:r w:rsidRPr="0085610D">
        <w:rPr>
          <w:rFonts w:ascii="Times New Roman" w:hAnsi="Times New Roman" w:cs="Times New Roman"/>
          <w:b/>
          <w:sz w:val="24"/>
          <w:szCs w:val="24"/>
        </w:rPr>
        <w:t>que también de manera directa o indirecta pueden suspender o condicionar la ejecución judicial de sentencias firmes</w:t>
      </w:r>
      <w:r>
        <w:rPr>
          <w:rFonts w:ascii="Times New Roman" w:hAnsi="Times New Roman" w:cs="Times New Roman"/>
          <w:sz w:val="24"/>
          <w:szCs w:val="24"/>
        </w:rPr>
        <w:t xml:space="preserve">. </w:t>
      </w:r>
    </w:p>
    <w:p w:rsidR="0065104B" w:rsidRDefault="000E678A" w:rsidP="0088258F">
      <w:pPr>
        <w:rPr>
          <w:rFonts w:ascii="Times New Roman" w:hAnsi="Times New Roman" w:cs="Times New Roman"/>
          <w:sz w:val="24"/>
          <w:szCs w:val="24"/>
        </w:rPr>
      </w:pPr>
      <w:r>
        <w:rPr>
          <w:rFonts w:ascii="Times New Roman" w:hAnsi="Times New Roman" w:cs="Times New Roman"/>
          <w:sz w:val="24"/>
          <w:szCs w:val="24"/>
        </w:rPr>
        <w:t>Sobre este particular, citar sólo</w:t>
      </w:r>
      <w:r w:rsidR="00CA4CE0">
        <w:rPr>
          <w:rFonts w:ascii="Times New Roman" w:hAnsi="Times New Roman" w:cs="Times New Roman"/>
          <w:sz w:val="24"/>
          <w:szCs w:val="24"/>
        </w:rPr>
        <w:t xml:space="preserve"> cuatro</w:t>
      </w:r>
      <w:r w:rsidR="0085610D">
        <w:rPr>
          <w:rFonts w:ascii="Times New Roman" w:hAnsi="Times New Roman" w:cs="Times New Roman"/>
          <w:sz w:val="24"/>
          <w:szCs w:val="24"/>
        </w:rPr>
        <w:t xml:space="preserve"> </w:t>
      </w:r>
      <w:r>
        <w:rPr>
          <w:rFonts w:ascii="Times New Roman" w:hAnsi="Times New Roman" w:cs="Times New Roman"/>
          <w:sz w:val="24"/>
          <w:szCs w:val="24"/>
        </w:rPr>
        <w:t xml:space="preserve">Sentencias </w:t>
      </w:r>
      <w:r w:rsidR="0085610D">
        <w:rPr>
          <w:rFonts w:ascii="Times New Roman" w:hAnsi="Times New Roman" w:cs="Times New Roman"/>
          <w:sz w:val="24"/>
          <w:szCs w:val="24"/>
        </w:rPr>
        <w:t>del Tribunal Constitucional</w:t>
      </w:r>
      <w:r w:rsidR="0065104B">
        <w:rPr>
          <w:rFonts w:ascii="Times New Roman" w:hAnsi="Times New Roman" w:cs="Times New Roman"/>
          <w:sz w:val="24"/>
          <w:szCs w:val="24"/>
        </w:rPr>
        <w:t xml:space="preserve"> en relación con esta materia; </w:t>
      </w:r>
    </w:p>
    <w:p w:rsidR="000E678A" w:rsidRDefault="0065104B" w:rsidP="0088258F">
      <w:pPr>
        <w:rPr>
          <w:rFonts w:ascii="Times New Roman" w:hAnsi="Times New Roman" w:cs="Times New Roman"/>
          <w:sz w:val="24"/>
          <w:szCs w:val="24"/>
        </w:rPr>
      </w:pPr>
      <w:r w:rsidRPr="0065104B">
        <w:rPr>
          <w:rFonts w:ascii="Times New Roman" w:hAnsi="Times New Roman" w:cs="Times New Roman"/>
          <w:sz w:val="24"/>
          <w:szCs w:val="24"/>
          <w:u w:val="single"/>
        </w:rPr>
        <w:t>La primera</w:t>
      </w:r>
      <w:r>
        <w:rPr>
          <w:rFonts w:ascii="Times New Roman" w:hAnsi="Times New Roman" w:cs="Times New Roman"/>
          <w:sz w:val="24"/>
          <w:szCs w:val="24"/>
        </w:rPr>
        <w:t xml:space="preserve">; </w:t>
      </w:r>
      <w:r w:rsidR="0085610D">
        <w:rPr>
          <w:rFonts w:ascii="Times New Roman" w:hAnsi="Times New Roman" w:cs="Times New Roman"/>
          <w:sz w:val="24"/>
          <w:szCs w:val="24"/>
        </w:rPr>
        <w:t xml:space="preserve">la </w:t>
      </w:r>
      <w:r w:rsidR="0085610D" w:rsidRPr="00CA4CE0">
        <w:rPr>
          <w:rFonts w:ascii="Times New Roman" w:hAnsi="Times New Roman" w:cs="Times New Roman"/>
          <w:sz w:val="24"/>
          <w:szCs w:val="24"/>
          <w:u w:val="single"/>
        </w:rPr>
        <w:t>STC de 73/2000, de 14 de marzo</w:t>
      </w:r>
      <w:r w:rsidR="0085610D" w:rsidRPr="0085610D">
        <w:rPr>
          <w:rFonts w:ascii="Times New Roman" w:hAnsi="Times New Roman" w:cs="Times New Roman"/>
          <w:sz w:val="24"/>
          <w:szCs w:val="24"/>
        </w:rPr>
        <w:t xml:space="preserve">, </w:t>
      </w:r>
      <w:r w:rsidR="000372AE">
        <w:rPr>
          <w:rFonts w:ascii="Times New Roman" w:hAnsi="Times New Roman" w:cs="Times New Roman"/>
          <w:sz w:val="24"/>
          <w:szCs w:val="24"/>
        </w:rPr>
        <w:t xml:space="preserve">dictada en la controvertida </w:t>
      </w:r>
      <w:r w:rsidR="0085610D" w:rsidRPr="0085610D">
        <w:rPr>
          <w:rFonts w:ascii="Times New Roman" w:hAnsi="Times New Roman" w:cs="Times New Roman"/>
          <w:sz w:val="24"/>
          <w:szCs w:val="24"/>
        </w:rPr>
        <w:t xml:space="preserve">presa de </w:t>
      </w:r>
      <w:proofErr w:type="spellStart"/>
      <w:r w:rsidR="0085610D" w:rsidRPr="0085610D">
        <w:rPr>
          <w:rFonts w:ascii="Times New Roman" w:hAnsi="Times New Roman" w:cs="Times New Roman"/>
          <w:sz w:val="24"/>
          <w:szCs w:val="24"/>
        </w:rPr>
        <w:t>Itoiz</w:t>
      </w:r>
      <w:proofErr w:type="spellEnd"/>
      <w:r w:rsidR="000372AE">
        <w:rPr>
          <w:rFonts w:ascii="Times New Roman" w:hAnsi="Times New Roman" w:cs="Times New Roman"/>
          <w:sz w:val="24"/>
          <w:szCs w:val="24"/>
        </w:rPr>
        <w:t xml:space="preserve"> (Navarra)</w:t>
      </w:r>
      <w:r w:rsidR="0085610D" w:rsidRPr="0085610D">
        <w:rPr>
          <w:rFonts w:ascii="Times New Roman" w:hAnsi="Times New Roman" w:cs="Times New Roman"/>
          <w:sz w:val="24"/>
          <w:szCs w:val="24"/>
        </w:rPr>
        <w:t xml:space="preserve">, </w:t>
      </w:r>
      <w:r w:rsidR="000372AE">
        <w:rPr>
          <w:rFonts w:ascii="Times New Roman" w:hAnsi="Times New Roman" w:cs="Times New Roman"/>
          <w:sz w:val="24"/>
          <w:szCs w:val="24"/>
        </w:rPr>
        <w:t xml:space="preserve">la cual declaró ajustada a Derecho la Ley Foral de 17/06/1996 de Navarra, desestimando el argumento de que se trataba de una Ley dictada para incumplir una sentencia judicial (la dictada por el </w:t>
      </w:r>
      <w:proofErr w:type="spellStart"/>
      <w:r w:rsidR="000372AE">
        <w:rPr>
          <w:rFonts w:ascii="Times New Roman" w:hAnsi="Times New Roman" w:cs="Times New Roman"/>
          <w:sz w:val="24"/>
          <w:szCs w:val="24"/>
        </w:rPr>
        <w:t>T.Supremo</w:t>
      </w:r>
      <w:proofErr w:type="spellEnd"/>
      <w:r w:rsidR="000372AE">
        <w:rPr>
          <w:rFonts w:ascii="Times New Roman" w:hAnsi="Times New Roman" w:cs="Times New Roman"/>
          <w:sz w:val="24"/>
          <w:szCs w:val="24"/>
        </w:rPr>
        <w:t xml:space="preserve"> en Casación con fecha 14/07/1997)</w:t>
      </w:r>
      <w:r>
        <w:rPr>
          <w:rFonts w:ascii="Times New Roman" w:hAnsi="Times New Roman" w:cs="Times New Roman"/>
          <w:sz w:val="24"/>
          <w:szCs w:val="24"/>
        </w:rPr>
        <w:t xml:space="preserve">. La STC 73/2000 </w:t>
      </w:r>
      <w:r w:rsidR="0085610D" w:rsidRPr="0085610D">
        <w:rPr>
          <w:rFonts w:ascii="Times New Roman" w:hAnsi="Times New Roman" w:cs="Times New Roman"/>
          <w:sz w:val="24"/>
          <w:szCs w:val="24"/>
        </w:rPr>
        <w:t xml:space="preserve">sienta las bases de los supuestos en </w:t>
      </w:r>
      <w:r>
        <w:rPr>
          <w:rFonts w:ascii="Times New Roman" w:hAnsi="Times New Roman" w:cs="Times New Roman"/>
          <w:sz w:val="24"/>
          <w:szCs w:val="24"/>
        </w:rPr>
        <w:t xml:space="preserve">los que </w:t>
      </w:r>
      <w:r w:rsidR="0085610D" w:rsidRPr="0085610D">
        <w:rPr>
          <w:rFonts w:ascii="Times New Roman" w:hAnsi="Times New Roman" w:cs="Times New Roman"/>
          <w:sz w:val="24"/>
          <w:szCs w:val="24"/>
        </w:rPr>
        <w:t xml:space="preserve">una ley </w:t>
      </w:r>
      <w:r w:rsidR="0085610D">
        <w:rPr>
          <w:rFonts w:ascii="Times New Roman" w:hAnsi="Times New Roman" w:cs="Times New Roman"/>
          <w:sz w:val="24"/>
          <w:szCs w:val="24"/>
        </w:rPr>
        <w:t xml:space="preserve">dictada por un Parlamento Autonómico resulte </w:t>
      </w:r>
      <w:r w:rsidR="0085610D" w:rsidRPr="0085610D">
        <w:rPr>
          <w:rFonts w:ascii="Times New Roman" w:hAnsi="Times New Roman" w:cs="Times New Roman"/>
          <w:sz w:val="24"/>
          <w:szCs w:val="24"/>
        </w:rPr>
        <w:t xml:space="preserve">impeditiva del cumplimiento de una sentencia </w:t>
      </w:r>
      <w:r w:rsidR="0085610D">
        <w:rPr>
          <w:rFonts w:ascii="Times New Roman" w:hAnsi="Times New Roman" w:cs="Times New Roman"/>
          <w:sz w:val="24"/>
          <w:szCs w:val="24"/>
        </w:rPr>
        <w:t xml:space="preserve">pueda ser inconstitucional; </w:t>
      </w:r>
    </w:p>
    <w:p w:rsidR="000E678A" w:rsidRDefault="0085610D" w:rsidP="0088258F">
      <w:pPr>
        <w:rPr>
          <w:rFonts w:ascii="Times New Roman" w:hAnsi="Times New Roman" w:cs="Times New Roman"/>
          <w:i/>
          <w:sz w:val="24"/>
          <w:szCs w:val="24"/>
        </w:rPr>
      </w:pPr>
      <w:r w:rsidRPr="0085610D">
        <w:rPr>
          <w:rFonts w:ascii="Times New Roman" w:hAnsi="Times New Roman" w:cs="Times New Roman"/>
          <w:sz w:val="24"/>
          <w:szCs w:val="24"/>
        </w:rPr>
        <w:t xml:space="preserve">El TC aclara que “(…) </w:t>
      </w:r>
      <w:r w:rsidRPr="00360740">
        <w:rPr>
          <w:rFonts w:ascii="Times New Roman" w:hAnsi="Times New Roman" w:cs="Times New Roman"/>
          <w:i/>
          <w:sz w:val="24"/>
          <w:szCs w:val="24"/>
        </w:rPr>
        <w:t>esta potestad de mediación legislativa de los derechos que se integran en el de la tutela judicial no es absoluta, ni dependiente del arbitrio del legislador, pues, dentro del respeto debido al contenido esencial de los derechos fundamentales, resulta indiscutible que el art. 24.1 C.E. exige, según la STC 158/1987, ausencia de condicionamientos que dificulten o entorpezcan, en lo que aquí interesa, la posibilidad de que lo resuelto por los órganos judiciales sea c</w:t>
      </w:r>
      <w:r w:rsidR="00360740">
        <w:rPr>
          <w:rFonts w:ascii="Times New Roman" w:hAnsi="Times New Roman" w:cs="Times New Roman"/>
          <w:i/>
          <w:sz w:val="24"/>
          <w:szCs w:val="24"/>
        </w:rPr>
        <w:t>umplido en sus propios términos…”</w:t>
      </w:r>
    </w:p>
    <w:p w:rsidR="00360740" w:rsidRPr="009D3378" w:rsidRDefault="0065104B" w:rsidP="0088258F">
      <w:pPr>
        <w:rPr>
          <w:rFonts w:ascii="Times New Roman" w:hAnsi="Times New Roman" w:cs="Times New Roman"/>
          <w:sz w:val="24"/>
          <w:szCs w:val="24"/>
        </w:rPr>
      </w:pPr>
      <w:r>
        <w:rPr>
          <w:rFonts w:ascii="Times New Roman" w:hAnsi="Times New Roman" w:cs="Times New Roman"/>
          <w:sz w:val="24"/>
          <w:szCs w:val="24"/>
        </w:rPr>
        <w:t>“</w:t>
      </w:r>
      <w:r w:rsidRPr="0065104B">
        <w:rPr>
          <w:rFonts w:ascii="Times New Roman" w:hAnsi="Times New Roman" w:cs="Times New Roman"/>
          <w:i/>
          <w:sz w:val="24"/>
          <w:szCs w:val="24"/>
        </w:rPr>
        <w:t xml:space="preserve">Se desprende con claridad que nos encontramos ante una regulación que es no solo “formalmente” sino intrínsecamente general, y no ante una regulación ad </w:t>
      </w:r>
      <w:proofErr w:type="spellStart"/>
      <w:r w:rsidRPr="0065104B">
        <w:rPr>
          <w:rFonts w:ascii="Times New Roman" w:hAnsi="Times New Roman" w:cs="Times New Roman"/>
          <w:i/>
          <w:sz w:val="24"/>
          <w:szCs w:val="24"/>
        </w:rPr>
        <w:t>casum</w:t>
      </w:r>
      <w:proofErr w:type="spellEnd"/>
      <w:r w:rsidRPr="0065104B">
        <w:rPr>
          <w:rFonts w:ascii="Times New Roman" w:hAnsi="Times New Roman" w:cs="Times New Roman"/>
          <w:i/>
          <w:sz w:val="24"/>
          <w:szCs w:val="24"/>
        </w:rPr>
        <w:t xml:space="preserve"> del legislador de la Comunidad Foral de Navarra</w:t>
      </w:r>
      <w:r>
        <w:rPr>
          <w:rFonts w:ascii="Times New Roman" w:hAnsi="Times New Roman" w:cs="Times New Roman"/>
          <w:i/>
          <w:sz w:val="24"/>
          <w:szCs w:val="24"/>
        </w:rPr>
        <w:t>, por lo que en definitiva no hay quebranto constitucional por parte de dicha Ley de 1996, no se puede ejecutar la Sentencia del Tribunal Supremo y el embalse es legal</w:t>
      </w:r>
      <w:r w:rsidRPr="0065104B">
        <w:rPr>
          <w:rFonts w:ascii="Times New Roman" w:hAnsi="Times New Roman" w:cs="Times New Roman"/>
          <w:i/>
          <w:sz w:val="24"/>
          <w:szCs w:val="24"/>
        </w:rPr>
        <w:t>”</w:t>
      </w:r>
    </w:p>
    <w:p w:rsidR="009D3378" w:rsidRDefault="0065104B" w:rsidP="00360740">
      <w:pPr>
        <w:rPr>
          <w:rFonts w:ascii="Times New Roman" w:hAnsi="Times New Roman" w:cs="Times New Roman"/>
          <w:sz w:val="24"/>
          <w:szCs w:val="24"/>
        </w:rPr>
      </w:pPr>
      <w:r w:rsidRPr="0065104B">
        <w:rPr>
          <w:rFonts w:ascii="Times New Roman" w:hAnsi="Times New Roman" w:cs="Times New Roman"/>
          <w:sz w:val="24"/>
          <w:szCs w:val="24"/>
          <w:u w:val="single"/>
        </w:rPr>
        <w:t>La segunda</w:t>
      </w:r>
      <w:r>
        <w:rPr>
          <w:rFonts w:ascii="Times New Roman" w:hAnsi="Times New Roman" w:cs="Times New Roman"/>
          <w:sz w:val="24"/>
          <w:szCs w:val="24"/>
        </w:rPr>
        <w:t>; e</w:t>
      </w:r>
      <w:r w:rsidR="009D3378">
        <w:rPr>
          <w:rFonts w:ascii="Times New Roman" w:hAnsi="Times New Roman" w:cs="Times New Roman"/>
          <w:sz w:val="24"/>
          <w:szCs w:val="24"/>
        </w:rPr>
        <w:t xml:space="preserve">l caso de la </w:t>
      </w:r>
      <w:r w:rsidR="00360740" w:rsidRPr="00360740">
        <w:rPr>
          <w:rFonts w:ascii="Times New Roman" w:hAnsi="Times New Roman" w:cs="Times New Roman"/>
          <w:sz w:val="24"/>
          <w:szCs w:val="24"/>
        </w:rPr>
        <w:t xml:space="preserve"> </w:t>
      </w:r>
      <w:r w:rsidR="00360740" w:rsidRPr="0011330C">
        <w:rPr>
          <w:rFonts w:ascii="Times New Roman" w:hAnsi="Times New Roman" w:cs="Times New Roman"/>
          <w:sz w:val="24"/>
          <w:szCs w:val="24"/>
          <w:u w:val="single"/>
        </w:rPr>
        <w:t>Comunidad Autónoma de Cantabria</w:t>
      </w:r>
      <w:r w:rsidR="00360740" w:rsidRPr="00360740">
        <w:rPr>
          <w:rFonts w:ascii="Times New Roman" w:hAnsi="Times New Roman" w:cs="Times New Roman"/>
          <w:sz w:val="24"/>
          <w:szCs w:val="24"/>
        </w:rPr>
        <w:t xml:space="preserve">, en el que se suscita la polémica de  una norma autonómica  </w:t>
      </w:r>
      <w:r w:rsidR="009D3378">
        <w:rPr>
          <w:rFonts w:ascii="Times New Roman" w:hAnsi="Times New Roman" w:cs="Times New Roman"/>
          <w:sz w:val="24"/>
          <w:szCs w:val="24"/>
        </w:rPr>
        <w:t>(</w:t>
      </w:r>
      <w:r w:rsidR="009D3378" w:rsidRPr="009D3378">
        <w:rPr>
          <w:rFonts w:ascii="Times New Roman" w:hAnsi="Times New Roman" w:cs="Times New Roman"/>
          <w:sz w:val="24"/>
          <w:szCs w:val="24"/>
        </w:rPr>
        <w:t xml:space="preserve">Disposición adicional sexta de la Ley de Cantabria 2/2011, de 4 de abril, </w:t>
      </w:r>
      <w:r w:rsidR="009D3378" w:rsidRPr="009D3378">
        <w:rPr>
          <w:rFonts w:ascii="Times New Roman" w:hAnsi="Times New Roman" w:cs="Times New Roman"/>
          <w:sz w:val="24"/>
          <w:szCs w:val="24"/>
        </w:rPr>
        <w:lastRenderedPageBreak/>
        <w:t>por la que se modifica la Ley 2/2001, de 25 de junio, de ordenación territorial y del régimen urbanístico del suelo de Cantabria</w:t>
      </w:r>
      <w:r w:rsidR="009D3378">
        <w:rPr>
          <w:rFonts w:ascii="Times New Roman" w:hAnsi="Times New Roman" w:cs="Times New Roman"/>
          <w:sz w:val="24"/>
          <w:szCs w:val="24"/>
        </w:rPr>
        <w:t xml:space="preserve">) </w:t>
      </w:r>
      <w:r w:rsidR="00360740" w:rsidRPr="00360740">
        <w:rPr>
          <w:rFonts w:ascii="Times New Roman" w:hAnsi="Times New Roman" w:cs="Times New Roman"/>
          <w:sz w:val="24"/>
          <w:szCs w:val="24"/>
        </w:rPr>
        <w:t xml:space="preserve">que condiciona la demolición de obras declaradas ilegales a la finalización del procedimiento de determinación de la responsabilidad patrimonial de la Administración, al establecimiento del importe de indemnización y a su efectiva puesta a disposición del perjudicado. </w:t>
      </w:r>
    </w:p>
    <w:p w:rsidR="00360740" w:rsidRPr="00360740" w:rsidRDefault="00360740" w:rsidP="00360740">
      <w:pPr>
        <w:rPr>
          <w:rFonts w:ascii="Times New Roman" w:hAnsi="Times New Roman" w:cs="Times New Roman"/>
          <w:sz w:val="24"/>
          <w:szCs w:val="24"/>
        </w:rPr>
      </w:pPr>
      <w:r w:rsidRPr="00360740">
        <w:rPr>
          <w:rFonts w:ascii="Times New Roman" w:hAnsi="Times New Roman" w:cs="Times New Roman"/>
          <w:sz w:val="24"/>
          <w:szCs w:val="24"/>
        </w:rPr>
        <w:t xml:space="preserve">La Sentencia  </w:t>
      </w:r>
      <w:r w:rsidRPr="00CA4CE0">
        <w:rPr>
          <w:rFonts w:ascii="Times New Roman" w:hAnsi="Times New Roman" w:cs="Times New Roman"/>
          <w:sz w:val="24"/>
          <w:szCs w:val="24"/>
          <w:u w:val="single"/>
        </w:rPr>
        <w:t>92/2013, de 22 de abril de 2013</w:t>
      </w:r>
      <w:r w:rsidRPr="00360740">
        <w:rPr>
          <w:rFonts w:ascii="Times New Roman" w:hAnsi="Times New Roman" w:cs="Times New Roman"/>
          <w:sz w:val="24"/>
          <w:szCs w:val="24"/>
        </w:rPr>
        <w:t xml:space="preserve">, del Tribunal Constitucional, declara la inconstitucional y su nulidad, afirmando rotundamente en el FJ sexto: </w:t>
      </w:r>
    </w:p>
    <w:p w:rsidR="00360740" w:rsidRPr="009D3378" w:rsidRDefault="00360740" w:rsidP="00360740">
      <w:pPr>
        <w:rPr>
          <w:rFonts w:ascii="Times New Roman" w:hAnsi="Times New Roman" w:cs="Times New Roman"/>
          <w:i/>
          <w:sz w:val="24"/>
          <w:szCs w:val="24"/>
        </w:rPr>
      </w:pPr>
      <w:r w:rsidRPr="009D3378">
        <w:rPr>
          <w:rFonts w:ascii="Times New Roman" w:hAnsi="Times New Roman" w:cs="Times New Roman"/>
          <w:i/>
          <w:sz w:val="24"/>
          <w:szCs w:val="24"/>
        </w:rPr>
        <w:t>“</w:t>
      </w:r>
      <w:r w:rsidRPr="00733746">
        <w:rPr>
          <w:rFonts w:ascii="Times New Roman" w:hAnsi="Times New Roman" w:cs="Times New Roman"/>
          <w:i/>
          <w:sz w:val="24"/>
          <w:szCs w:val="24"/>
          <w:u w:val="single"/>
        </w:rPr>
        <w:t>La conclusión de lo anteriormente expuesto es que la norma cuestionada incide en la regulación de la ejecución de Sentencias mediante la introducción de un trámite (el de determinación de la eventual responsabilidad patrimonial en que pudiera haber incurrido la Administración urbanística) ajeno a la propia ejecución de la Sentencia y que tiene el efecto de paralizar la misma mientras sustancia, decide y, en su caso, ejecuta mediante el pago</w:t>
      </w:r>
      <w:r w:rsidRPr="009D3378">
        <w:rPr>
          <w:rFonts w:ascii="Times New Roman" w:hAnsi="Times New Roman" w:cs="Times New Roman"/>
          <w:i/>
          <w:sz w:val="24"/>
          <w:szCs w:val="24"/>
        </w:rPr>
        <w:t>. Tal regulación, como acabamos de ver, no tiene cobertura competencial en los títulos aducidos por los órganos de la Comunidad Autónoma, de modo que se invade la competencia exclusiva del Estado en materia de legislación procesal prevista en el art. 149.1 6 CE, sin que, tal como admiten todos los que han intervenido en este proceso constitucional, concurra especialidad alguna en el derecho sustantivo autonómico que lo justifique en términos constitucionalmente admisibles conforme al indicado precepto constitucional.</w:t>
      </w:r>
    </w:p>
    <w:p w:rsidR="00733746" w:rsidRDefault="0065104B" w:rsidP="00360740">
      <w:pPr>
        <w:rPr>
          <w:rFonts w:ascii="Times New Roman" w:hAnsi="Times New Roman" w:cs="Times New Roman"/>
          <w:sz w:val="24"/>
          <w:szCs w:val="24"/>
        </w:rPr>
      </w:pPr>
      <w:r w:rsidRPr="0065104B">
        <w:rPr>
          <w:rFonts w:ascii="Times New Roman" w:hAnsi="Times New Roman" w:cs="Times New Roman"/>
          <w:sz w:val="24"/>
          <w:szCs w:val="24"/>
          <w:u w:val="single"/>
        </w:rPr>
        <w:t>Tercero.-</w:t>
      </w:r>
      <w:r>
        <w:rPr>
          <w:rFonts w:ascii="Times New Roman" w:hAnsi="Times New Roman" w:cs="Times New Roman"/>
          <w:sz w:val="24"/>
          <w:szCs w:val="24"/>
        </w:rPr>
        <w:t xml:space="preserve"> </w:t>
      </w:r>
      <w:r w:rsidR="009D3378">
        <w:rPr>
          <w:rFonts w:ascii="Times New Roman" w:hAnsi="Times New Roman" w:cs="Times New Roman"/>
          <w:sz w:val="24"/>
          <w:szCs w:val="24"/>
        </w:rPr>
        <w:t xml:space="preserve">El caso de </w:t>
      </w:r>
      <w:r>
        <w:rPr>
          <w:rFonts w:ascii="Times New Roman" w:hAnsi="Times New Roman" w:cs="Times New Roman"/>
          <w:sz w:val="24"/>
          <w:szCs w:val="24"/>
        </w:rPr>
        <w:t xml:space="preserve">esta </w:t>
      </w:r>
      <w:r w:rsidR="009D3378" w:rsidRPr="0011330C">
        <w:rPr>
          <w:rFonts w:ascii="Times New Roman" w:hAnsi="Times New Roman" w:cs="Times New Roman"/>
          <w:sz w:val="24"/>
          <w:szCs w:val="24"/>
          <w:u w:val="single"/>
        </w:rPr>
        <w:t>Comunidad Autónoma de Galicia</w:t>
      </w:r>
      <w:r w:rsidR="009D3378">
        <w:rPr>
          <w:rFonts w:ascii="Times New Roman" w:hAnsi="Times New Roman" w:cs="Times New Roman"/>
          <w:sz w:val="24"/>
          <w:szCs w:val="24"/>
        </w:rPr>
        <w:t xml:space="preserve">, </w:t>
      </w:r>
      <w:r w:rsidR="009D3378" w:rsidRPr="009D3378">
        <w:rPr>
          <w:rFonts w:ascii="Times New Roman" w:hAnsi="Times New Roman" w:cs="Times New Roman"/>
          <w:sz w:val="24"/>
          <w:szCs w:val="24"/>
        </w:rPr>
        <w:t>en relación con la Disposición adicional sexta de la Ley 8/2012, de 29 de junio, de vivienda de Galicia</w:t>
      </w:r>
      <w:r w:rsidR="009D3378">
        <w:rPr>
          <w:rFonts w:ascii="Times New Roman" w:hAnsi="Times New Roman" w:cs="Times New Roman"/>
          <w:sz w:val="24"/>
          <w:szCs w:val="24"/>
        </w:rPr>
        <w:t xml:space="preserve"> respecto a la cual se dictó la </w:t>
      </w:r>
      <w:r w:rsidR="00360740" w:rsidRPr="00CA4CE0">
        <w:rPr>
          <w:rFonts w:ascii="Times New Roman" w:hAnsi="Times New Roman" w:cs="Times New Roman"/>
          <w:sz w:val="24"/>
          <w:szCs w:val="24"/>
          <w:u w:val="single"/>
        </w:rPr>
        <w:t>STC 82/2014,</w:t>
      </w:r>
      <w:r w:rsidR="00360740" w:rsidRPr="00360740">
        <w:rPr>
          <w:rFonts w:ascii="Times New Roman" w:hAnsi="Times New Roman" w:cs="Times New Roman"/>
          <w:sz w:val="24"/>
          <w:szCs w:val="24"/>
        </w:rPr>
        <w:t xml:space="preserve"> de 28 de mayo de 2014, que igualmente </w:t>
      </w:r>
      <w:r w:rsidR="009D3378">
        <w:rPr>
          <w:rFonts w:ascii="Times New Roman" w:hAnsi="Times New Roman" w:cs="Times New Roman"/>
          <w:sz w:val="24"/>
          <w:szCs w:val="24"/>
        </w:rPr>
        <w:t xml:space="preserve">aborda la problemática de suspensión en la </w:t>
      </w:r>
      <w:r w:rsidR="00360740" w:rsidRPr="00360740">
        <w:rPr>
          <w:rFonts w:ascii="Times New Roman" w:hAnsi="Times New Roman" w:cs="Times New Roman"/>
          <w:sz w:val="24"/>
          <w:szCs w:val="24"/>
        </w:rPr>
        <w:t xml:space="preserve">ejecución de las sentencias que lleven aparejado el derribo de edificaciones condicionando </w:t>
      </w:r>
      <w:r w:rsidR="009D3378">
        <w:rPr>
          <w:rFonts w:ascii="Times New Roman" w:hAnsi="Times New Roman" w:cs="Times New Roman"/>
          <w:sz w:val="24"/>
          <w:szCs w:val="24"/>
        </w:rPr>
        <w:t>la m</w:t>
      </w:r>
      <w:r w:rsidR="00360740" w:rsidRPr="00360740">
        <w:rPr>
          <w:rFonts w:ascii="Times New Roman" w:hAnsi="Times New Roman" w:cs="Times New Roman"/>
          <w:sz w:val="24"/>
          <w:szCs w:val="24"/>
        </w:rPr>
        <w:t xml:space="preserve">aterialización del derribo a que se tramite y resuelva el procedimiento de responsabilidad patrimonial, así como, en su caso, a que se pague la indemnización que se pudiera acordar en él. El pronunciamiento vuelve a ser el mismo que el caso anterior, </w:t>
      </w:r>
      <w:r w:rsidR="00E26C41">
        <w:rPr>
          <w:rFonts w:ascii="Times New Roman" w:hAnsi="Times New Roman" w:cs="Times New Roman"/>
          <w:sz w:val="24"/>
          <w:szCs w:val="24"/>
        </w:rPr>
        <w:t>y en virtud de la STC se suprime el inciso “</w:t>
      </w:r>
      <w:r w:rsidR="00E26C41" w:rsidRPr="00733746">
        <w:rPr>
          <w:rFonts w:ascii="Times New Roman" w:hAnsi="Times New Roman" w:cs="Times New Roman"/>
          <w:i/>
          <w:sz w:val="24"/>
          <w:szCs w:val="24"/>
          <w:u w:val="single"/>
        </w:rPr>
        <w:t>o sentencia</w:t>
      </w:r>
      <w:r w:rsidR="00E26C41">
        <w:rPr>
          <w:rFonts w:ascii="Times New Roman" w:hAnsi="Times New Roman" w:cs="Times New Roman"/>
          <w:sz w:val="24"/>
          <w:szCs w:val="24"/>
        </w:rPr>
        <w:t xml:space="preserve">” del punto segundo de la Disp. Adicional Sexta, quedando reducido este a los supuestos en que exista acto administrativo que conlleve la reposición de la legalidad urbanística, pero nunca la supeditación de dicha reposición cuando exista una sentencia judicial.  </w:t>
      </w:r>
    </w:p>
    <w:p w:rsidR="00CA4CE0" w:rsidRDefault="00C77B79" w:rsidP="00360740">
      <w:pPr>
        <w:rPr>
          <w:rFonts w:ascii="Times New Roman" w:hAnsi="Times New Roman" w:cs="Times New Roman"/>
          <w:sz w:val="24"/>
          <w:szCs w:val="24"/>
        </w:rPr>
      </w:pPr>
      <w:r w:rsidRPr="00C77B79">
        <w:rPr>
          <w:rFonts w:ascii="Times New Roman" w:hAnsi="Times New Roman" w:cs="Times New Roman"/>
          <w:sz w:val="24"/>
          <w:szCs w:val="24"/>
          <w:u w:val="single"/>
        </w:rPr>
        <w:t>Cuarto.-</w:t>
      </w:r>
      <w:r>
        <w:rPr>
          <w:rFonts w:ascii="Times New Roman" w:hAnsi="Times New Roman" w:cs="Times New Roman"/>
          <w:sz w:val="24"/>
          <w:szCs w:val="24"/>
        </w:rPr>
        <w:t xml:space="preserve"> </w:t>
      </w:r>
      <w:r w:rsidR="00CA4CE0">
        <w:rPr>
          <w:rFonts w:ascii="Times New Roman" w:hAnsi="Times New Roman" w:cs="Times New Roman"/>
          <w:sz w:val="24"/>
          <w:szCs w:val="24"/>
        </w:rPr>
        <w:t xml:space="preserve">También respecto a la </w:t>
      </w:r>
      <w:r w:rsidR="00CA4CE0" w:rsidRPr="0011330C">
        <w:rPr>
          <w:rFonts w:ascii="Times New Roman" w:hAnsi="Times New Roman" w:cs="Times New Roman"/>
          <w:sz w:val="24"/>
          <w:szCs w:val="24"/>
          <w:u w:val="single"/>
        </w:rPr>
        <w:t>Comunidad Autónoma Cántabra</w:t>
      </w:r>
      <w:r w:rsidR="00CA4CE0">
        <w:rPr>
          <w:rFonts w:ascii="Times New Roman" w:hAnsi="Times New Roman" w:cs="Times New Roman"/>
          <w:sz w:val="24"/>
          <w:szCs w:val="24"/>
        </w:rPr>
        <w:t xml:space="preserve">, </w:t>
      </w:r>
      <w:r w:rsidR="00360740" w:rsidRPr="00360740">
        <w:rPr>
          <w:rFonts w:ascii="Times New Roman" w:hAnsi="Times New Roman" w:cs="Times New Roman"/>
          <w:sz w:val="24"/>
          <w:szCs w:val="24"/>
        </w:rPr>
        <w:tab/>
      </w:r>
      <w:r w:rsidR="00CA4CE0">
        <w:rPr>
          <w:rFonts w:ascii="Times New Roman" w:hAnsi="Times New Roman" w:cs="Times New Roman"/>
          <w:sz w:val="24"/>
          <w:szCs w:val="24"/>
        </w:rPr>
        <w:t xml:space="preserve">se ha dictado la </w:t>
      </w:r>
      <w:r w:rsidR="00360740" w:rsidRPr="00CA4CE0">
        <w:rPr>
          <w:rFonts w:ascii="Times New Roman" w:hAnsi="Times New Roman" w:cs="Times New Roman"/>
          <w:sz w:val="24"/>
          <w:szCs w:val="24"/>
          <w:u w:val="single"/>
        </w:rPr>
        <w:t>STC 254/2015</w:t>
      </w:r>
      <w:r w:rsidR="00360740" w:rsidRPr="00360740">
        <w:rPr>
          <w:rFonts w:ascii="Times New Roman" w:hAnsi="Times New Roman" w:cs="Times New Roman"/>
          <w:sz w:val="24"/>
          <w:szCs w:val="24"/>
        </w:rPr>
        <w:t xml:space="preserve">, de 30 de noviembre de 2015, en relación con el artículo 65 bis.1 de la Ley 2/2001, de 25 de junio, de ordenación territorial y de régimen urbanístico del suelo de Cantabria, introducido por la Ley 4/2013, de 20 de junio, que </w:t>
      </w:r>
      <w:r w:rsidR="00CA4CE0">
        <w:rPr>
          <w:rFonts w:ascii="Times New Roman" w:hAnsi="Times New Roman" w:cs="Times New Roman"/>
          <w:sz w:val="24"/>
          <w:szCs w:val="24"/>
        </w:rPr>
        <w:t xml:space="preserve">regula una figura denominada </w:t>
      </w:r>
      <w:r w:rsidR="00CA4CE0" w:rsidRPr="0011330C">
        <w:rPr>
          <w:rFonts w:ascii="Times New Roman" w:hAnsi="Times New Roman" w:cs="Times New Roman"/>
          <w:sz w:val="24"/>
          <w:szCs w:val="24"/>
          <w:u w:val="single"/>
        </w:rPr>
        <w:t>“</w:t>
      </w:r>
      <w:r w:rsidR="00360740" w:rsidRPr="0011330C">
        <w:rPr>
          <w:rFonts w:ascii="Times New Roman" w:hAnsi="Times New Roman" w:cs="Times New Roman"/>
          <w:sz w:val="24"/>
          <w:szCs w:val="24"/>
          <w:u w:val="single"/>
        </w:rPr>
        <w:t>autorización provisional</w:t>
      </w:r>
      <w:r w:rsidR="00CA4CE0">
        <w:rPr>
          <w:rFonts w:ascii="Times New Roman" w:hAnsi="Times New Roman" w:cs="Times New Roman"/>
          <w:sz w:val="24"/>
          <w:szCs w:val="24"/>
        </w:rPr>
        <w:t>”</w:t>
      </w:r>
      <w:r w:rsidR="00360740" w:rsidRPr="00360740">
        <w:rPr>
          <w:rFonts w:ascii="Times New Roman" w:hAnsi="Times New Roman" w:cs="Times New Roman"/>
          <w:sz w:val="24"/>
          <w:szCs w:val="24"/>
        </w:rPr>
        <w:t xml:space="preserve"> como instrumento para evitar, sobre la fase de un planeamiento futuro, el cumplimiento de órdenes de demolición administrativas o judiciales. </w:t>
      </w:r>
    </w:p>
    <w:p w:rsidR="00360740" w:rsidRPr="00360740" w:rsidRDefault="00CA4CE0" w:rsidP="00360740">
      <w:pPr>
        <w:rPr>
          <w:rFonts w:ascii="Times New Roman" w:hAnsi="Times New Roman" w:cs="Times New Roman"/>
          <w:sz w:val="24"/>
          <w:szCs w:val="24"/>
        </w:rPr>
      </w:pPr>
      <w:r>
        <w:rPr>
          <w:rFonts w:ascii="Times New Roman" w:hAnsi="Times New Roman" w:cs="Times New Roman"/>
          <w:sz w:val="24"/>
          <w:szCs w:val="24"/>
        </w:rPr>
        <w:t xml:space="preserve">Sobre la misma, mantiene el TC que; </w:t>
      </w:r>
    </w:p>
    <w:p w:rsidR="00360740" w:rsidRPr="00CA4CE0" w:rsidRDefault="00360740" w:rsidP="00360740">
      <w:pPr>
        <w:rPr>
          <w:rFonts w:ascii="Times New Roman" w:hAnsi="Times New Roman" w:cs="Times New Roman"/>
          <w:i/>
          <w:sz w:val="24"/>
          <w:szCs w:val="24"/>
          <w:u w:val="single"/>
        </w:rPr>
      </w:pPr>
      <w:r w:rsidRPr="00CA4CE0">
        <w:rPr>
          <w:rFonts w:ascii="Times New Roman" w:hAnsi="Times New Roman" w:cs="Times New Roman"/>
          <w:i/>
          <w:sz w:val="24"/>
          <w:szCs w:val="24"/>
        </w:rPr>
        <w:t xml:space="preserve">“Pues bien, el precepto cuestionado regula, como se ha explicado más arriba, la ejecución de las sentencias en el proceso contencioso-administrativo creando una causa de suspensión específica en relación con las sentencias que ordenan la demolición de edificios ilegales, procediendo, por tanto, la aplicación de la doctrina que hemos establecido recientemente en nuestras Sentencias 92/2013, de 22 de abril; 82/2014, de 28 de mayo, y 149/2014, de 22 de septiembre, de acuerdo </w:t>
      </w:r>
      <w:r w:rsidRPr="00CA4CE0">
        <w:rPr>
          <w:rFonts w:ascii="Times New Roman" w:hAnsi="Times New Roman" w:cs="Times New Roman"/>
          <w:i/>
          <w:sz w:val="24"/>
          <w:szCs w:val="24"/>
        </w:rPr>
        <w:lastRenderedPageBreak/>
        <w:t xml:space="preserve">con la cual </w:t>
      </w:r>
      <w:r w:rsidRPr="00733746">
        <w:rPr>
          <w:rFonts w:ascii="Times New Roman" w:hAnsi="Times New Roman" w:cs="Times New Roman"/>
          <w:i/>
          <w:sz w:val="24"/>
          <w:szCs w:val="24"/>
          <w:u w:val="single"/>
        </w:rPr>
        <w:t>resulta incompatible con la reserva estatal en materia de legislación procesal –art. 149.1.6 CE–</w:t>
      </w:r>
      <w:r w:rsidRPr="00CA4CE0">
        <w:rPr>
          <w:rFonts w:ascii="Times New Roman" w:hAnsi="Times New Roman" w:cs="Times New Roman"/>
          <w:i/>
          <w:sz w:val="24"/>
          <w:szCs w:val="24"/>
        </w:rPr>
        <w:t xml:space="preserve"> </w:t>
      </w:r>
      <w:r w:rsidRPr="00CA4CE0">
        <w:rPr>
          <w:rFonts w:ascii="Times New Roman" w:hAnsi="Times New Roman" w:cs="Times New Roman"/>
          <w:i/>
          <w:sz w:val="24"/>
          <w:szCs w:val="24"/>
          <w:u w:val="single"/>
        </w:rPr>
        <w:t xml:space="preserve">que el legislador autonómico establezca una causa de suspensión o aplazamiento de la ejecución de las sentencias que implican el derribo de las edificaciones, determinando que la ejecución de la Sentencia –como es aquí el caso por lo anteriormente expuesto– termina por escapar del control judicial, único competente para hacer ejecutar lo juzgado a tenor de lo </w:t>
      </w:r>
      <w:r w:rsidR="00CA4CE0">
        <w:rPr>
          <w:rFonts w:ascii="Times New Roman" w:hAnsi="Times New Roman" w:cs="Times New Roman"/>
          <w:i/>
          <w:sz w:val="24"/>
          <w:szCs w:val="24"/>
          <w:u w:val="single"/>
        </w:rPr>
        <w:t>dispuesto en el art. 117.3 CE”.</w:t>
      </w:r>
    </w:p>
    <w:p w:rsidR="00877AC7" w:rsidRDefault="00733746" w:rsidP="00360740">
      <w:pPr>
        <w:rPr>
          <w:rFonts w:ascii="Times New Roman" w:hAnsi="Times New Roman" w:cs="Times New Roman"/>
          <w:sz w:val="24"/>
          <w:szCs w:val="24"/>
        </w:rPr>
      </w:pPr>
      <w:r w:rsidRPr="00733746">
        <w:rPr>
          <w:rFonts w:ascii="Times New Roman" w:hAnsi="Times New Roman" w:cs="Times New Roman"/>
          <w:sz w:val="24"/>
          <w:szCs w:val="24"/>
          <w:u w:val="single"/>
        </w:rPr>
        <w:t>Quinto.-</w:t>
      </w:r>
      <w:r>
        <w:rPr>
          <w:rFonts w:ascii="Times New Roman" w:hAnsi="Times New Roman" w:cs="Times New Roman"/>
          <w:sz w:val="24"/>
          <w:szCs w:val="24"/>
        </w:rPr>
        <w:t xml:space="preserve"> </w:t>
      </w:r>
      <w:r w:rsidR="00CA4CE0">
        <w:rPr>
          <w:rFonts w:ascii="Times New Roman" w:hAnsi="Times New Roman" w:cs="Times New Roman"/>
          <w:sz w:val="24"/>
          <w:szCs w:val="24"/>
        </w:rPr>
        <w:t xml:space="preserve">En la </w:t>
      </w:r>
      <w:r w:rsidR="00CA4CE0" w:rsidRPr="00CA4CE0">
        <w:rPr>
          <w:rFonts w:ascii="Times New Roman" w:hAnsi="Times New Roman" w:cs="Times New Roman"/>
          <w:sz w:val="24"/>
          <w:szCs w:val="24"/>
          <w:u w:val="single"/>
        </w:rPr>
        <w:t>Comunidad Autónoma de Navarra</w:t>
      </w:r>
      <w:r w:rsidR="00CA4CE0">
        <w:rPr>
          <w:rFonts w:ascii="Times New Roman" w:hAnsi="Times New Roman" w:cs="Times New Roman"/>
          <w:sz w:val="24"/>
          <w:szCs w:val="24"/>
        </w:rPr>
        <w:t xml:space="preserve"> se ha dictado </w:t>
      </w:r>
      <w:r w:rsidR="00360740" w:rsidRPr="00360740">
        <w:rPr>
          <w:rFonts w:ascii="Times New Roman" w:hAnsi="Times New Roman" w:cs="Times New Roman"/>
          <w:sz w:val="24"/>
          <w:szCs w:val="24"/>
        </w:rPr>
        <w:t xml:space="preserve">la Ley Foral 5/2015, de 5 de marzo, </w:t>
      </w:r>
      <w:r w:rsidR="00E26C41">
        <w:rPr>
          <w:rFonts w:ascii="Times New Roman" w:hAnsi="Times New Roman" w:cs="Times New Roman"/>
          <w:sz w:val="24"/>
          <w:szCs w:val="24"/>
        </w:rPr>
        <w:t xml:space="preserve">que </w:t>
      </w:r>
      <w:r w:rsidR="00360740" w:rsidRPr="00360740">
        <w:rPr>
          <w:rFonts w:ascii="Times New Roman" w:hAnsi="Times New Roman" w:cs="Times New Roman"/>
          <w:sz w:val="24"/>
          <w:szCs w:val="24"/>
        </w:rPr>
        <w:t xml:space="preserve">ha modificado la Ley Foral 35/2002, de 20 de diciembre, de Ordenación del Territorio y Urbanismo de Navarra, a cuyo efecto ha introducido </w:t>
      </w:r>
      <w:r w:rsidR="006F07C1">
        <w:rPr>
          <w:rFonts w:ascii="Times New Roman" w:hAnsi="Times New Roman" w:cs="Times New Roman"/>
          <w:sz w:val="24"/>
          <w:szCs w:val="24"/>
        </w:rPr>
        <w:t xml:space="preserve">un nuevo punto 6 </w:t>
      </w:r>
      <w:r w:rsidR="00360740" w:rsidRPr="00360740">
        <w:rPr>
          <w:rFonts w:ascii="Times New Roman" w:hAnsi="Times New Roman" w:cs="Times New Roman"/>
          <w:sz w:val="24"/>
          <w:szCs w:val="24"/>
        </w:rPr>
        <w:t xml:space="preserve">en el art. 204 </w:t>
      </w:r>
      <w:r w:rsidR="006F07C1">
        <w:rPr>
          <w:rFonts w:ascii="Times New Roman" w:hAnsi="Times New Roman" w:cs="Times New Roman"/>
          <w:sz w:val="24"/>
          <w:szCs w:val="24"/>
        </w:rPr>
        <w:t>en el que se regulan las “</w:t>
      </w:r>
      <w:r w:rsidR="00360740" w:rsidRPr="00360740">
        <w:rPr>
          <w:rFonts w:ascii="Times New Roman" w:hAnsi="Times New Roman" w:cs="Times New Roman"/>
          <w:sz w:val="24"/>
          <w:szCs w:val="24"/>
        </w:rPr>
        <w:t>autorizaci</w:t>
      </w:r>
      <w:r w:rsidR="006F07C1">
        <w:rPr>
          <w:rFonts w:ascii="Times New Roman" w:hAnsi="Times New Roman" w:cs="Times New Roman"/>
          <w:sz w:val="24"/>
          <w:szCs w:val="24"/>
        </w:rPr>
        <w:t>ones</w:t>
      </w:r>
      <w:r w:rsidR="00360740" w:rsidRPr="00360740">
        <w:rPr>
          <w:rFonts w:ascii="Times New Roman" w:hAnsi="Times New Roman" w:cs="Times New Roman"/>
          <w:sz w:val="24"/>
          <w:szCs w:val="24"/>
        </w:rPr>
        <w:t xml:space="preserve"> provisional</w:t>
      </w:r>
      <w:r w:rsidR="006F07C1">
        <w:rPr>
          <w:rFonts w:ascii="Times New Roman" w:hAnsi="Times New Roman" w:cs="Times New Roman"/>
          <w:sz w:val="24"/>
          <w:szCs w:val="24"/>
        </w:rPr>
        <w:t>es”</w:t>
      </w:r>
      <w:r w:rsidR="00360740" w:rsidRPr="00360740">
        <w:rPr>
          <w:rFonts w:ascii="Times New Roman" w:hAnsi="Times New Roman" w:cs="Times New Roman"/>
          <w:sz w:val="24"/>
          <w:szCs w:val="24"/>
        </w:rPr>
        <w:t xml:space="preserve"> en términos </w:t>
      </w:r>
      <w:r w:rsidR="006F07C1">
        <w:rPr>
          <w:rFonts w:ascii="Times New Roman" w:hAnsi="Times New Roman" w:cs="Times New Roman"/>
          <w:sz w:val="24"/>
          <w:szCs w:val="24"/>
        </w:rPr>
        <w:t xml:space="preserve">similares </w:t>
      </w:r>
      <w:r w:rsidR="00360740" w:rsidRPr="00360740">
        <w:rPr>
          <w:rFonts w:ascii="Times New Roman" w:hAnsi="Times New Roman" w:cs="Times New Roman"/>
          <w:sz w:val="24"/>
          <w:szCs w:val="24"/>
        </w:rPr>
        <w:t>a la disposición cánta</w:t>
      </w:r>
      <w:r w:rsidR="006F07C1">
        <w:rPr>
          <w:rFonts w:ascii="Times New Roman" w:hAnsi="Times New Roman" w:cs="Times New Roman"/>
          <w:sz w:val="24"/>
          <w:szCs w:val="24"/>
        </w:rPr>
        <w:t xml:space="preserve">bra declarada inconstitucional, es decir, pese a la existencia de órdenes de demolición administrativas </w:t>
      </w:r>
      <w:r w:rsidR="006F07C1" w:rsidRPr="006F07C1">
        <w:rPr>
          <w:rFonts w:ascii="Times New Roman" w:hAnsi="Times New Roman" w:cs="Times New Roman"/>
          <w:sz w:val="24"/>
          <w:szCs w:val="24"/>
          <w:u w:val="single"/>
        </w:rPr>
        <w:t xml:space="preserve">o judiciales </w:t>
      </w:r>
      <w:r w:rsidR="006F07C1">
        <w:rPr>
          <w:rFonts w:ascii="Times New Roman" w:hAnsi="Times New Roman" w:cs="Times New Roman"/>
          <w:sz w:val="24"/>
          <w:szCs w:val="24"/>
        </w:rPr>
        <w:t xml:space="preserve">el órgano administrativo competente para la aprobación inicial de un nuevo instrumento de planeamiento general podrá conceder dichas autorizaciones “de supervivencia” provisionales, si las mismas pueden resultar conformes con </w:t>
      </w:r>
      <w:r w:rsidR="00877AC7">
        <w:rPr>
          <w:rFonts w:ascii="Times New Roman" w:hAnsi="Times New Roman" w:cs="Times New Roman"/>
          <w:sz w:val="24"/>
          <w:szCs w:val="24"/>
        </w:rPr>
        <w:t xml:space="preserve">la nueva ordenación prevista. </w:t>
      </w:r>
    </w:p>
    <w:p w:rsidR="00360740" w:rsidRDefault="00CA4CE0" w:rsidP="00360740">
      <w:pPr>
        <w:rPr>
          <w:rFonts w:ascii="Times New Roman" w:hAnsi="Times New Roman" w:cs="Times New Roman"/>
          <w:sz w:val="24"/>
          <w:szCs w:val="24"/>
        </w:rPr>
      </w:pPr>
      <w:r>
        <w:rPr>
          <w:rFonts w:ascii="Times New Roman" w:hAnsi="Times New Roman" w:cs="Times New Roman"/>
          <w:sz w:val="24"/>
          <w:szCs w:val="24"/>
        </w:rPr>
        <w:t xml:space="preserve">No me consta ningún pronunciamiento del Tribunal Constitucional sobre esta Ley Foral, ni quiero ser pájaro de mal </w:t>
      </w:r>
      <w:r w:rsidR="00877AC7">
        <w:rPr>
          <w:rFonts w:ascii="Times New Roman" w:hAnsi="Times New Roman" w:cs="Times New Roman"/>
          <w:sz w:val="24"/>
          <w:szCs w:val="24"/>
        </w:rPr>
        <w:t>agüero…</w:t>
      </w:r>
      <w:proofErr w:type="gramStart"/>
      <w:r w:rsidR="00877AC7">
        <w:rPr>
          <w:rFonts w:ascii="Times New Roman" w:hAnsi="Times New Roman" w:cs="Times New Roman"/>
          <w:sz w:val="24"/>
          <w:szCs w:val="24"/>
        </w:rPr>
        <w:t>.</w:t>
      </w:r>
      <w:r>
        <w:rPr>
          <w:rFonts w:ascii="Times New Roman" w:hAnsi="Times New Roman" w:cs="Times New Roman"/>
          <w:sz w:val="24"/>
          <w:szCs w:val="24"/>
        </w:rPr>
        <w:t>.</w:t>
      </w:r>
      <w:proofErr w:type="gramEnd"/>
      <w:r w:rsidRPr="00360740">
        <w:rPr>
          <w:rFonts w:ascii="Times New Roman" w:hAnsi="Times New Roman" w:cs="Times New Roman"/>
          <w:sz w:val="24"/>
          <w:szCs w:val="24"/>
        </w:rPr>
        <w:t xml:space="preserve"> </w:t>
      </w:r>
    </w:p>
    <w:p w:rsidR="0065104B" w:rsidRPr="00360740" w:rsidRDefault="0065104B" w:rsidP="00360740">
      <w:pPr>
        <w:rPr>
          <w:rFonts w:ascii="Times New Roman" w:hAnsi="Times New Roman" w:cs="Times New Roman"/>
          <w:sz w:val="24"/>
          <w:szCs w:val="24"/>
        </w:rPr>
      </w:pPr>
    </w:p>
    <w:p w:rsidR="00D17D9D" w:rsidRPr="00D17D9D" w:rsidRDefault="00D17D9D">
      <w:pPr>
        <w:rPr>
          <w:rFonts w:ascii="Times New Roman" w:hAnsi="Times New Roman" w:cs="Times New Roman"/>
          <w:b/>
          <w:sz w:val="24"/>
          <w:szCs w:val="24"/>
        </w:rPr>
      </w:pPr>
      <w:r w:rsidRPr="00D17D9D">
        <w:rPr>
          <w:rFonts w:ascii="Times New Roman" w:hAnsi="Times New Roman" w:cs="Times New Roman"/>
          <w:b/>
          <w:sz w:val="24"/>
          <w:szCs w:val="24"/>
        </w:rPr>
        <w:t>Normas administrativas autonómicas que han recogido la jurisprudencia existente sobre el cumplimiento por equivalencia y han aplicado dicha técnica para el cumplimiento de resoluciones administrativas firmes que ordenen la reposición de la realidad física mediante demolición.</w:t>
      </w:r>
    </w:p>
    <w:p w:rsidR="00B97F62" w:rsidRDefault="00D17D9D">
      <w:pPr>
        <w:rPr>
          <w:rFonts w:ascii="Times New Roman" w:hAnsi="Times New Roman" w:cs="Times New Roman"/>
          <w:sz w:val="24"/>
          <w:szCs w:val="24"/>
        </w:rPr>
      </w:pPr>
      <w:r>
        <w:rPr>
          <w:rFonts w:ascii="Times New Roman" w:hAnsi="Times New Roman" w:cs="Times New Roman"/>
          <w:sz w:val="24"/>
          <w:szCs w:val="24"/>
        </w:rPr>
        <w:t xml:space="preserve">Me gustaría sólo dejar apuntado que teniendo en cuenta </w:t>
      </w:r>
      <w:r w:rsidR="00B97F62">
        <w:rPr>
          <w:rFonts w:ascii="Times New Roman" w:hAnsi="Times New Roman" w:cs="Times New Roman"/>
          <w:sz w:val="24"/>
          <w:szCs w:val="24"/>
        </w:rPr>
        <w:t>la Jurisprudencia consolidada que hemos citado respecto al cumplimiento por equivalencia, algunas Comunidades Autónomas, como la Andaluza, han previsto en su normativa urbanística, en este caso en el Reglamento de Disciplina Urbanística, aprobado por Decreto 60/2010, preceptos con análoga finalidad al cumplimiento por equivalencia pero para los casos en los que no existe ningún pronunciamiento judicial por resultar de expedientes de restablecimiento de la legalidad urbanístico dictados y resueltos exclusivamente en el plano administrativo.</w:t>
      </w:r>
    </w:p>
    <w:p w:rsidR="008570A8" w:rsidRDefault="00B97F62">
      <w:pPr>
        <w:rPr>
          <w:rFonts w:ascii="Times New Roman" w:hAnsi="Times New Roman" w:cs="Times New Roman"/>
          <w:sz w:val="24"/>
          <w:szCs w:val="24"/>
        </w:rPr>
      </w:pPr>
      <w:r w:rsidRPr="00B97F62">
        <w:rPr>
          <w:rFonts w:ascii="Times New Roman" w:hAnsi="Times New Roman" w:cs="Times New Roman"/>
          <w:sz w:val="24"/>
          <w:szCs w:val="24"/>
        </w:rPr>
        <w:t>Esta posibilidad se recoge en el art. 51 R</w:t>
      </w:r>
      <w:r>
        <w:rPr>
          <w:rFonts w:ascii="Times New Roman" w:hAnsi="Times New Roman" w:cs="Times New Roman"/>
          <w:sz w:val="24"/>
          <w:szCs w:val="24"/>
        </w:rPr>
        <w:t xml:space="preserve">eglamento de Disciplina Urbanística de Andalucía </w:t>
      </w:r>
      <w:r w:rsidRPr="00B97F62">
        <w:rPr>
          <w:rFonts w:ascii="Times New Roman" w:hAnsi="Times New Roman" w:cs="Times New Roman"/>
          <w:sz w:val="24"/>
          <w:szCs w:val="24"/>
        </w:rPr>
        <w:t xml:space="preserve">bajo el </w:t>
      </w:r>
      <w:r w:rsidR="008570A8">
        <w:rPr>
          <w:rFonts w:ascii="Times New Roman" w:hAnsi="Times New Roman" w:cs="Times New Roman"/>
          <w:sz w:val="24"/>
          <w:szCs w:val="24"/>
        </w:rPr>
        <w:t>título</w:t>
      </w:r>
      <w:r>
        <w:rPr>
          <w:rFonts w:ascii="Times New Roman" w:hAnsi="Times New Roman" w:cs="Times New Roman"/>
          <w:sz w:val="24"/>
          <w:szCs w:val="24"/>
        </w:rPr>
        <w:t xml:space="preserve"> </w:t>
      </w:r>
      <w:r w:rsidRPr="00B97F62">
        <w:rPr>
          <w:rFonts w:ascii="Times New Roman" w:hAnsi="Times New Roman" w:cs="Times New Roman"/>
          <w:sz w:val="24"/>
          <w:szCs w:val="24"/>
        </w:rPr>
        <w:t>“</w:t>
      </w:r>
      <w:r w:rsidRPr="00733746">
        <w:rPr>
          <w:rFonts w:ascii="Times New Roman" w:hAnsi="Times New Roman" w:cs="Times New Roman"/>
          <w:sz w:val="24"/>
          <w:szCs w:val="24"/>
          <w:u w:val="single"/>
        </w:rPr>
        <w:t>cumplimiento por equivalencia</w:t>
      </w:r>
      <w:r w:rsidRPr="00B97F62">
        <w:rPr>
          <w:rFonts w:ascii="Times New Roman" w:hAnsi="Times New Roman" w:cs="Times New Roman"/>
          <w:sz w:val="24"/>
          <w:szCs w:val="24"/>
        </w:rPr>
        <w:t>”.</w:t>
      </w:r>
      <w:r>
        <w:rPr>
          <w:rFonts w:ascii="Times New Roman" w:hAnsi="Times New Roman" w:cs="Times New Roman"/>
          <w:sz w:val="24"/>
          <w:szCs w:val="24"/>
        </w:rPr>
        <w:t xml:space="preserve"> Se prevé en el mismo el </w:t>
      </w:r>
      <w:r w:rsidRPr="00B97F62">
        <w:rPr>
          <w:rFonts w:ascii="Times New Roman" w:hAnsi="Times New Roman" w:cs="Times New Roman"/>
          <w:sz w:val="24"/>
          <w:szCs w:val="24"/>
        </w:rPr>
        <w:t xml:space="preserve">supuesto específico </w:t>
      </w:r>
      <w:r>
        <w:rPr>
          <w:rFonts w:ascii="Times New Roman" w:hAnsi="Times New Roman" w:cs="Times New Roman"/>
          <w:sz w:val="24"/>
          <w:szCs w:val="24"/>
        </w:rPr>
        <w:t xml:space="preserve">de </w:t>
      </w:r>
      <w:r w:rsidRPr="00B97F62">
        <w:rPr>
          <w:rFonts w:ascii="Times New Roman" w:hAnsi="Times New Roman" w:cs="Times New Roman"/>
          <w:sz w:val="24"/>
          <w:szCs w:val="24"/>
        </w:rPr>
        <w:t>imposibilidad legal o material para ejecutar, no ya sentencias, sino resoluciones administrativas dictadas en el seno de procedimientos de protección de la legalidad urbanística que ordenan la reposición de la realidad física alterada</w:t>
      </w:r>
      <w:r w:rsidR="008570A8">
        <w:rPr>
          <w:rFonts w:ascii="Times New Roman" w:hAnsi="Times New Roman" w:cs="Times New Roman"/>
          <w:sz w:val="24"/>
          <w:szCs w:val="24"/>
        </w:rPr>
        <w:t xml:space="preserve">. Prevé el artículo citado los dos tipos de causas de imposibilidad; </w:t>
      </w:r>
    </w:p>
    <w:p w:rsidR="008570A8" w:rsidRDefault="008570A8" w:rsidP="008570A8">
      <w:pPr>
        <w:pStyle w:val="Prrafodelista"/>
        <w:numPr>
          <w:ilvl w:val="0"/>
          <w:numId w:val="3"/>
        </w:numPr>
        <w:rPr>
          <w:rFonts w:ascii="Times New Roman" w:hAnsi="Times New Roman" w:cs="Times New Roman"/>
          <w:sz w:val="24"/>
          <w:szCs w:val="24"/>
        </w:rPr>
      </w:pPr>
      <w:r w:rsidRPr="008570A8">
        <w:rPr>
          <w:rFonts w:ascii="Times New Roman" w:hAnsi="Times New Roman" w:cs="Times New Roman"/>
          <w:sz w:val="24"/>
          <w:szCs w:val="24"/>
          <w:u w:val="single"/>
        </w:rPr>
        <w:t>Imposibilidad sobrevenida por causa legal</w:t>
      </w:r>
      <w:r w:rsidRPr="008570A8">
        <w:rPr>
          <w:rFonts w:ascii="Times New Roman" w:hAnsi="Times New Roman" w:cs="Times New Roman"/>
          <w:sz w:val="24"/>
          <w:szCs w:val="24"/>
        </w:rPr>
        <w:t xml:space="preserve"> (modificación del planeamiento “sobrevenida y no traída” con aprobación definitiva y cuyas determinaciones entran en contradicción con una/varias resoluciones firmes dictadas en procedimientos de restablecimiento de la legalidad</w:t>
      </w:r>
      <w:proofErr w:type="gramStart"/>
      <w:r w:rsidRPr="008570A8">
        <w:rPr>
          <w:rFonts w:ascii="Times New Roman" w:hAnsi="Times New Roman" w:cs="Times New Roman"/>
          <w:sz w:val="24"/>
          <w:szCs w:val="24"/>
        </w:rPr>
        <w:t>. )</w:t>
      </w:r>
      <w:proofErr w:type="gramEnd"/>
    </w:p>
    <w:p w:rsidR="008570A8" w:rsidRDefault="008570A8" w:rsidP="008570A8">
      <w:pPr>
        <w:pStyle w:val="Prrafodelista"/>
        <w:numPr>
          <w:ilvl w:val="0"/>
          <w:numId w:val="3"/>
        </w:numPr>
        <w:rPr>
          <w:rFonts w:ascii="Times New Roman" w:hAnsi="Times New Roman" w:cs="Times New Roman"/>
          <w:sz w:val="24"/>
          <w:szCs w:val="24"/>
        </w:rPr>
      </w:pPr>
      <w:r w:rsidRPr="008570A8">
        <w:rPr>
          <w:rFonts w:ascii="Times New Roman" w:hAnsi="Times New Roman" w:cs="Times New Roman"/>
          <w:sz w:val="24"/>
          <w:szCs w:val="24"/>
          <w:u w:val="single"/>
        </w:rPr>
        <w:lastRenderedPageBreak/>
        <w:t>Imposibilidad sobrevenida por causa material</w:t>
      </w:r>
      <w:r w:rsidRPr="008570A8">
        <w:rPr>
          <w:rFonts w:ascii="Times New Roman" w:hAnsi="Times New Roman" w:cs="Times New Roman"/>
          <w:sz w:val="24"/>
          <w:szCs w:val="24"/>
        </w:rPr>
        <w:t>. Obstáculo físico que impide el cumplimiento de la resolución en sus propios términos (el inmueble ya se ha derribado, bien sea por causas naturales, de fuerza mayor, demolición v</w:t>
      </w:r>
      <w:r>
        <w:rPr>
          <w:rFonts w:ascii="Times New Roman" w:hAnsi="Times New Roman" w:cs="Times New Roman"/>
          <w:sz w:val="24"/>
          <w:szCs w:val="24"/>
        </w:rPr>
        <w:t xml:space="preserve">oluntaria del particular,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w:t>
      </w:r>
    </w:p>
    <w:p w:rsidR="008570A8" w:rsidRPr="008570A8" w:rsidRDefault="008570A8" w:rsidP="008570A8">
      <w:pPr>
        <w:rPr>
          <w:rFonts w:ascii="Times New Roman" w:hAnsi="Times New Roman" w:cs="Times New Roman"/>
          <w:sz w:val="24"/>
          <w:szCs w:val="24"/>
        </w:rPr>
      </w:pPr>
      <w:r w:rsidRPr="008570A8">
        <w:rPr>
          <w:rFonts w:ascii="Times New Roman" w:hAnsi="Times New Roman" w:cs="Times New Roman"/>
          <w:sz w:val="24"/>
          <w:szCs w:val="24"/>
        </w:rPr>
        <w:t xml:space="preserve">Este procedimiento posibilita dar salida a situaciones reales que, a falta de esta regulación, quedarían perpetuamente </w:t>
      </w:r>
      <w:proofErr w:type="spellStart"/>
      <w:r w:rsidRPr="008570A8">
        <w:rPr>
          <w:rFonts w:ascii="Times New Roman" w:hAnsi="Times New Roman" w:cs="Times New Roman"/>
          <w:sz w:val="24"/>
          <w:szCs w:val="24"/>
        </w:rPr>
        <w:t>inejecutadas</w:t>
      </w:r>
      <w:proofErr w:type="spellEnd"/>
      <w:r w:rsidRPr="008570A8">
        <w:rPr>
          <w:rFonts w:ascii="Times New Roman" w:hAnsi="Times New Roman" w:cs="Times New Roman"/>
          <w:sz w:val="24"/>
          <w:szCs w:val="24"/>
        </w:rPr>
        <w:t xml:space="preserve"> sin contraprestación alguna. El precepto impone ciertas garantías  para su aplicación:</w:t>
      </w:r>
    </w:p>
    <w:p w:rsidR="008570A8" w:rsidRDefault="008570A8" w:rsidP="008570A8">
      <w:pPr>
        <w:pStyle w:val="Prrafodelista"/>
        <w:numPr>
          <w:ilvl w:val="0"/>
          <w:numId w:val="4"/>
        </w:numPr>
        <w:rPr>
          <w:rFonts w:ascii="Times New Roman" w:hAnsi="Times New Roman" w:cs="Times New Roman"/>
          <w:sz w:val="24"/>
          <w:szCs w:val="24"/>
        </w:rPr>
      </w:pPr>
      <w:r w:rsidRPr="008570A8">
        <w:rPr>
          <w:rFonts w:ascii="Times New Roman" w:hAnsi="Times New Roman" w:cs="Times New Roman"/>
          <w:sz w:val="24"/>
          <w:szCs w:val="24"/>
        </w:rPr>
        <w:t xml:space="preserve">Respeto al poder judicial. </w:t>
      </w:r>
      <w:r w:rsidRPr="00A031EE">
        <w:rPr>
          <w:rFonts w:ascii="Times New Roman" w:hAnsi="Times New Roman" w:cs="Times New Roman"/>
          <w:sz w:val="24"/>
          <w:szCs w:val="24"/>
          <w:u w:val="single"/>
        </w:rPr>
        <w:t>“Sin perjuicio de la potestad jurisdiccional de hacer ejecutar lo juzgado”</w:t>
      </w:r>
      <w:r w:rsidRPr="008570A8">
        <w:rPr>
          <w:rFonts w:ascii="Times New Roman" w:hAnsi="Times New Roman" w:cs="Times New Roman"/>
          <w:sz w:val="24"/>
          <w:szCs w:val="24"/>
        </w:rPr>
        <w:t xml:space="preserve"> para los casos en los que exista una resolución judicial firme acordando la demolición o declarando nula una licencia urbanística, pues en este caso la forma de ejecutar la misma corresponderá siempre al órgano judicial que conoció en primera instancia. </w:t>
      </w:r>
    </w:p>
    <w:p w:rsidR="008570A8" w:rsidRDefault="008570A8" w:rsidP="008570A8">
      <w:pPr>
        <w:pStyle w:val="Prrafodelista"/>
        <w:numPr>
          <w:ilvl w:val="0"/>
          <w:numId w:val="4"/>
        </w:numPr>
        <w:rPr>
          <w:rFonts w:ascii="Times New Roman" w:hAnsi="Times New Roman" w:cs="Times New Roman"/>
          <w:sz w:val="24"/>
          <w:szCs w:val="24"/>
        </w:rPr>
      </w:pPr>
      <w:r w:rsidRPr="008570A8">
        <w:rPr>
          <w:rFonts w:ascii="Times New Roman" w:hAnsi="Times New Roman" w:cs="Times New Roman"/>
          <w:sz w:val="24"/>
          <w:szCs w:val="24"/>
        </w:rPr>
        <w:t>Objetividad en la Resolución. La resolución de inejecución deberá emitirse previos los informes técnicos y jurídicos pertinentes.</w:t>
      </w:r>
    </w:p>
    <w:p w:rsidR="008570A8" w:rsidRDefault="008570A8" w:rsidP="008570A8">
      <w:pPr>
        <w:pStyle w:val="Prrafodelista"/>
        <w:numPr>
          <w:ilvl w:val="0"/>
          <w:numId w:val="4"/>
        </w:numPr>
        <w:rPr>
          <w:rFonts w:ascii="Times New Roman" w:hAnsi="Times New Roman" w:cs="Times New Roman"/>
          <w:sz w:val="24"/>
          <w:szCs w:val="24"/>
        </w:rPr>
      </w:pPr>
      <w:r w:rsidRPr="008570A8">
        <w:rPr>
          <w:rFonts w:ascii="Times New Roman" w:hAnsi="Times New Roman" w:cs="Times New Roman"/>
          <w:sz w:val="24"/>
          <w:szCs w:val="24"/>
        </w:rPr>
        <w:t xml:space="preserve">Tales informes han de fijar la </w:t>
      </w:r>
      <w:r w:rsidRPr="008570A8">
        <w:rPr>
          <w:rFonts w:ascii="Times New Roman" w:hAnsi="Times New Roman" w:cs="Times New Roman"/>
          <w:sz w:val="24"/>
          <w:szCs w:val="24"/>
          <w:u w:val="single"/>
        </w:rPr>
        <w:t>indemnización por equivalencia</w:t>
      </w:r>
      <w:r w:rsidRPr="008570A8">
        <w:rPr>
          <w:rFonts w:ascii="Times New Roman" w:hAnsi="Times New Roman" w:cs="Times New Roman"/>
          <w:sz w:val="24"/>
          <w:szCs w:val="24"/>
        </w:rPr>
        <w:t xml:space="preserve"> en la parte que no pueda ser objeto de cumplimiento pleno, pudiendo consistir en una cantidad en metálico, o en la cesión de una porción de terreno o edificación equivalente al aprovechamiento materializado sin título. </w:t>
      </w:r>
    </w:p>
    <w:p w:rsidR="008570A8" w:rsidRPr="008570A8" w:rsidRDefault="008570A8" w:rsidP="008570A8">
      <w:pPr>
        <w:pStyle w:val="Prrafodelista"/>
        <w:numPr>
          <w:ilvl w:val="0"/>
          <w:numId w:val="4"/>
        </w:numPr>
        <w:rPr>
          <w:rFonts w:ascii="Times New Roman" w:hAnsi="Times New Roman" w:cs="Times New Roman"/>
          <w:sz w:val="24"/>
          <w:szCs w:val="24"/>
        </w:rPr>
      </w:pPr>
      <w:r w:rsidRPr="008570A8">
        <w:rPr>
          <w:rFonts w:ascii="Times New Roman" w:hAnsi="Times New Roman" w:cs="Times New Roman"/>
          <w:sz w:val="24"/>
          <w:szCs w:val="24"/>
        </w:rPr>
        <w:t xml:space="preserve">La indemnización por equivalencia </w:t>
      </w:r>
      <w:r w:rsidRPr="008570A8">
        <w:rPr>
          <w:rFonts w:ascii="Times New Roman" w:hAnsi="Times New Roman" w:cs="Times New Roman"/>
          <w:sz w:val="24"/>
          <w:szCs w:val="24"/>
          <w:u w:val="single"/>
        </w:rPr>
        <w:t>deberá abonarse con independencia de las sanciones por infracciones urbanísticas</w:t>
      </w:r>
      <w:r w:rsidRPr="008570A8">
        <w:rPr>
          <w:rFonts w:ascii="Times New Roman" w:hAnsi="Times New Roman" w:cs="Times New Roman"/>
          <w:sz w:val="24"/>
          <w:szCs w:val="24"/>
        </w:rPr>
        <w:t xml:space="preserve"> que, en su caso procedan, sin que pueda reportar a las personas infractoras de la legalidad urbanística la posibilidad de beneficiarse de la reducción de la sanción.</w:t>
      </w:r>
    </w:p>
    <w:p w:rsidR="00D17D9D" w:rsidRPr="008570A8" w:rsidRDefault="00D17D9D" w:rsidP="008570A8">
      <w:pPr>
        <w:ind w:left="708"/>
        <w:rPr>
          <w:rFonts w:ascii="Times New Roman" w:hAnsi="Times New Roman" w:cs="Times New Roman"/>
          <w:sz w:val="24"/>
          <w:szCs w:val="24"/>
        </w:rPr>
      </w:pPr>
      <w:r w:rsidRPr="008570A8">
        <w:rPr>
          <w:rFonts w:ascii="Times New Roman" w:hAnsi="Times New Roman" w:cs="Times New Roman"/>
          <w:sz w:val="24"/>
          <w:szCs w:val="24"/>
        </w:rPr>
        <w:br w:type="page"/>
      </w:r>
    </w:p>
    <w:p w:rsidR="00360740" w:rsidRDefault="005476A9" w:rsidP="005476A9">
      <w:pPr>
        <w:jc w:val="center"/>
        <w:rPr>
          <w:rFonts w:ascii="Times New Roman" w:hAnsi="Times New Roman" w:cs="Times New Roman"/>
          <w:b/>
          <w:sz w:val="24"/>
          <w:szCs w:val="24"/>
        </w:rPr>
      </w:pPr>
      <w:r w:rsidRPr="005476A9">
        <w:rPr>
          <w:rFonts w:ascii="Times New Roman" w:hAnsi="Times New Roman" w:cs="Times New Roman"/>
          <w:b/>
          <w:sz w:val="24"/>
          <w:szCs w:val="24"/>
        </w:rPr>
        <w:lastRenderedPageBreak/>
        <w:t>CASOS REALES EN LOS QUE HA PARTICIPADO LA INSPECCIÓN URBANÍSTICA ANDALUZA EN LA EMISIÓN DE INFORMES RELATIVOS AL CUMPLIMIENTO POR EQUIVALENCIA.</w:t>
      </w:r>
    </w:p>
    <w:p w:rsidR="00733746" w:rsidRDefault="00733746" w:rsidP="00435C58">
      <w:pPr>
        <w:rPr>
          <w:rFonts w:ascii="Times New Roman" w:hAnsi="Times New Roman" w:cs="Times New Roman"/>
          <w:b/>
          <w:sz w:val="24"/>
          <w:szCs w:val="24"/>
        </w:rPr>
      </w:pPr>
    </w:p>
    <w:p w:rsidR="00435C58" w:rsidRDefault="00733746" w:rsidP="00435C58">
      <w:pPr>
        <w:rPr>
          <w:rFonts w:ascii="Times New Roman" w:hAnsi="Times New Roman" w:cs="Times New Roman"/>
          <w:b/>
          <w:sz w:val="24"/>
          <w:szCs w:val="24"/>
        </w:rPr>
      </w:pPr>
      <w:r>
        <w:rPr>
          <w:rFonts w:ascii="Times New Roman" w:hAnsi="Times New Roman" w:cs="Times New Roman"/>
          <w:b/>
          <w:sz w:val="24"/>
          <w:szCs w:val="24"/>
        </w:rPr>
        <w:t xml:space="preserve">PROVINCIA DE GRANADA. </w:t>
      </w:r>
      <w:r w:rsidR="00435C58">
        <w:rPr>
          <w:rFonts w:ascii="Times New Roman" w:hAnsi="Times New Roman" w:cs="Times New Roman"/>
          <w:b/>
          <w:sz w:val="24"/>
          <w:szCs w:val="24"/>
        </w:rPr>
        <w:t xml:space="preserve"> </w:t>
      </w:r>
    </w:p>
    <w:p w:rsidR="00435C58" w:rsidRDefault="00435C58" w:rsidP="00435C58">
      <w:pPr>
        <w:rPr>
          <w:rFonts w:ascii="Times New Roman" w:hAnsi="Times New Roman" w:cs="Times New Roman"/>
          <w:sz w:val="24"/>
          <w:szCs w:val="24"/>
        </w:rPr>
      </w:pPr>
      <w:r w:rsidRPr="00A734BF">
        <w:rPr>
          <w:rFonts w:ascii="Times New Roman" w:hAnsi="Times New Roman" w:cs="Times New Roman"/>
          <w:sz w:val="24"/>
          <w:szCs w:val="24"/>
          <w:u w:val="single"/>
        </w:rPr>
        <w:t>Situación procesal</w:t>
      </w:r>
      <w:r>
        <w:rPr>
          <w:rFonts w:ascii="Times New Roman" w:hAnsi="Times New Roman" w:cs="Times New Roman"/>
          <w:sz w:val="24"/>
          <w:szCs w:val="24"/>
        </w:rPr>
        <w:t xml:space="preserve">: </w:t>
      </w:r>
      <w:r w:rsidR="004133B1">
        <w:rPr>
          <w:rFonts w:ascii="Times New Roman" w:hAnsi="Times New Roman" w:cs="Times New Roman"/>
          <w:sz w:val="24"/>
          <w:szCs w:val="24"/>
        </w:rPr>
        <w:t xml:space="preserve">Incidente de ejecución promovido para la ejecución de la </w:t>
      </w:r>
      <w:r w:rsidRPr="00435C58">
        <w:rPr>
          <w:rFonts w:ascii="Times New Roman" w:hAnsi="Times New Roman" w:cs="Times New Roman"/>
          <w:sz w:val="24"/>
          <w:szCs w:val="24"/>
        </w:rPr>
        <w:t xml:space="preserve">Sentencia nº 1191 de 2004, de 30 de noviembre de 2004 del TSJA </w:t>
      </w:r>
      <w:r>
        <w:rPr>
          <w:rFonts w:ascii="Times New Roman" w:hAnsi="Times New Roman" w:cs="Times New Roman"/>
          <w:sz w:val="24"/>
          <w:szCs w:val="24"/>
        </w:rPr>
        <w:t xml:space="preserve">que </w:t>
      </w:r>
      <w:r w:rsidRPr="00435C58">
        <w:rPr>
          <w:rFonts w:ascii="Times New Roman" w:hAnsi="Times New Roman" w:cs="Times New Roman"/>
          <w:sz w:val="24"/>
          <w:szCs w:val="24"/>
        </w:rPr>
        <w:t xml:space="preserve">estima el recurso contencioso administrativo interpuesto por </w:t>
      </w:r>
      <w:r>
        <w:rPr>
          <w:rFonts w:ascii="Times New Roman" w:hAnsi="Times New Roman" w:cs="Times New Roman"/>
          <w:sz w:val="24"/>
          <w:szCs w:val="24"/>
        </w:rPr>
        <w:t xml:space="preserve">la Junta de Andalucía </w:t>
      </w:r>
      <w:r w:rsidRPr="00435C58">
        <w:rPr>
          <w:rFonts w:ascii="Times New Roman" w:hAnsi="Times New Roman" w:cs="Times New Roman"/>
          <w:sz w:val="24"/>
          <w:szCs w:val="24"/>
        </w:rPr>
        <w:t xml:space="preserve">contra la resolución  desestimatoria por silencio administrativo del recurso de alzada interpuesto contra el Acuerdo Plenario del Ayuntamiento </w:t>
      </w:r>
      <w:proofErr w:type="gramStart"/>
      <w:r w:rsidRPr="00435C58">
        <w:rPr>
          <w:rFonts w:ascii="Times New Roman" w:hAnsi="Times New Roman" w:cs="Times New Roman"/>
          <w:sz w:val="24"/>
          <w:szCs w:val="24"/>
        </w:rPr>
        <w:t xml:space="preserve">de </w:t>
      </w:r>
      <w:r>
        <w:rPr>
          <w:rFonts w:ascii="Times New Roman" w:hAnsi="Times New Roman" w:cs="Times New Roman"/>
          <w:sz w:val="24"/>
          <w:szCs w:val="24"/>
        </w:rPr>
        <w:t>….</w:t>
      </w:r>
      <w:proofErr w:type="gramEnd"/>
      <w:r w:rsidRPr="00435C58">
        <w:rPr>
          <w:rFonts w:ascii="Times New Roman" w:hAnsi="Times New Roman" w:cs="Times New Roman"/>
          <w:sz w:val="24"/>
          <w:szCs w:val="24"/>
        </w:rPr>
        <w:t xml:space="preserve"> </w:t>
      </w:r>
      <w:proofErr w:type="gramStart"/>
      <w:r w:rsidRPr="00435C58">
        <w:rPr>
          <w:rFonts w:ascii="Times New Roman" w:hAnsi="Times New Roman" w:cs="Times New Roman"/>
          <w:sz w:val="24"/>
          <w:szCs w:val="24"/>
        </w:rPr>
        <w:t>de</w:t>
      </w:r>
      <w:proofErr w:type="gramEnd"/>
      <w:r w:rsidRPr="00435C58">
        <w:rPr>
          <w:rFonts w:ascii="Times New Roman" w:hAnsi="Times New Roman" w:cs="Times New Roman"/>
          <w:sz w:val="24"/>
          <w:szCs w:val="24"/>
        </w:rPr>
        <w:t xml:space="preserve"> 19 de febrero de 1998,  por el que desestima revisar de oficio la licencia concedida por el  Pleno del ayuntamiento con fecha 23 de Noviembre de 1994 a Don </w:t>
      </w:r>
      <w:r>
        <w:rPr>
          <w:rFonts w:ascii="Times New Roman" w:hAnsi="Times New Roman" w:cs="Times New Roman"/>
          <w:sz w:val="24"/>
          <w:szCs w:val="24"/>
        </w:rPr>
        <w:t>…….</w:t>
      </w:r>
      <w:r w:rsidRPr="00435C58">
        <w:rPr>
          <w:rFonts w:ascii="Times New Roman" w:hAnsi="Times New Roman" w:cs="Times New Roman"/>
          <w:sz w:val="24"/>
          <w:szCs w:val="24"/>
        </w:rPr>
        <w:t xml:space="preserve"> para la ampliación de dos viviendas y planta primera sobre edificio existente en C/ Ermita. </w:t>
      </w:r>
    </w:p>
    <w:p w:rsidR="00435C58" w:rsidRPr="00435C58" w:rsidRDefault="00435C58" w:rsidP="00435C58">
      <w:pPr>
        <w:rPr>
          <w:rFonts w:ascii="Times New Roman" w:hAnsi="Times New Roman" w:cs="Times New Roman"/>
          <w:sz w:val="24"/>
          <w:szCs w:val="24"/>
        </w:rPr>
      </w:pPr>
      <w:r w:rsidRPr="00435C58">
        <w:rPr>
          <w:rFonts w:ascii="Times New Roman" w:hAnsi="Times New Roman" w:cs="Times New Roman"/>
          <w:sz w:val="24"/>
          <w:szCs w:val="24"/>
        </w:rPr>
        <w:t xml:space="preserve">El fallo de la citada Sentencia dispone literalmente que dicha resolución desestimatoria presunta se anula al considerarla contraria al ordenamiento jurídico, debiendo proceder el Ilmo. Ayuntamiento </w:t>
      </w:r>
      <w:proofErr w:type="gramStart"/>
      <w:r w:rsidRPr="00435C58">
        <w:rPr>
          <w:rFonts w:ascii="Times New Roman" w:hAnsi="Times New Roman" w:cs="Times New Roman"/>
          <w:sz w:val="24"/>
          <w:szCs w:val="24"/>
        </w:rPr>
        <w:t>de</w:t>
      </w:r>
      <w:r>
        <w:rPr>
          <w:rFonts w:ascii="Times New Roman" w:hAnsi="Times New Roman" w:cs="Times New Roman"/>
          <w:sz w:val="24"/>
          <w:szCs w:val="24"/>
        </w:rPr>
        <w:t xml:space="preserve"> ….</w:t>
      </w:r>
      <w:proofErr w:type="gramEnd"/>
      <w:r w:rsidRPr="00435C58">
        <w:rPr>
          <w:rFonts w:ascii="Times New Roman" w:hAnsi="Times New Roman" w:cs="Times New Roman"/>
          <w:sz w:val="24"/>
          <w:szCs w:val="24"/>
        </w:rPr>
        <w:t xml:space="preserve"> </w:t>
      </w:r>
      <w:proofErr w:type="gramStart"/>
      <w:r w:rsidRPr="00435C58">
        <w:rPr>
          <w:rFonts w:ascii="Times New Roman" w:hAnsi="Times New Roman" w:cs="Times New Roman"/>
          <w:sz w:val="24"/>
          <w:szCs w:val="24"/>
        </w:rPr>
        <w:t>( Granada</w:t>
      </w:r>
      <w:proofErr w:type="gramEnd"/>
      <w:r w:rsidRPr="00435C58">
        <w:rPr>
          <w:rFonts w:ascii="Times New Roman" w:hAnsi="Times New Roman" w:cs="Times New Roman"/>
          <w:sz w:val="24"/>
          <w:szCs w:val="24"/>
        </w:rPr>
        <w:t>)  a la revisión de oficio de la licencia objeto de este recurso.</w:t>
      </w:r>
    </w:p>
    <w:p w:rsidR="00435C58" w:rsidRDefault="00435C58" w:rsidP="00435C58">
      <w:pPr>
        <w:rPr>
          <w:rFonts w:ascii="Times New Roman" w:hAnsi="Times New Roman" w:cs="Times New Roman"/>
          <w:sz w:val="24"/>
          <w:szCs w:val="24"/>
        </w:rPr>
      </w:pPr>
      <w:r w:rsidRPr="00435C58">
        <w:rPr>
          <w:rFonts w:ascii="Times New Roman" w:hAnsi="Times New Roman" w:cs="Times New Roman"/>
          <w:sz w:val="24"/>
          <w:szCs w:val="24"/>
        </w:rPr>
        <w:t xml:space="preserve">El recurso contencioso administrativo de referencia se interpuso por la Junta de Andalucía, y por don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roofErr w:type="gramStart"/>
      <w:r>
        <w:rPr>
          <w:rFonts w:ascii="Times New Roman" w:hAnsi="Times New Roman" w:cs="Times New Roman"/>
          <w:sz w:val="24"/>
          <w:szCs w:val="24"/>
        </w:rPr>
        <w:t>interesado</w:t>
      </w:r>
      <w:proofErr w:type="gramEnd"/>
      <w:r>
        <w:rPr>
          <w:rFonts w:ascii="Times New Roman" w:hAnsi="Times New Roman" w:cs="Times New Roman"/>
          <w:sz w:val="24"/>
          <w:szCs w:val="24"/>
        </w:rPr>
        <w:t xml:space="preserve"> en la demolición de la vivienda)</w:t>
      </w:r>
      <w:r w:rsidRPr="00435C58">
        <w:rPr>
          <w:rFonts w:ascii="Times New Roman" w:hAnsi="Times New Roman" w:cs="Times New Roman"/>
          <w:sz w:val="24"/>
          <w:szCs w:val="24"/>
        </w:rPr>
        <w:t xml:space="preserve"> contra el Ayuntamiento de </w:t>
      </w:r>
      <w:r>
        <w:rPr>
          <w:rFonts w:ascii="Times New Roman" w:hAnsi="Times New Roman" w:cs="Times New Roman"/>
          <w:sz w:val="24"/>
          <w:szCs w:val="24"/>
        </w:rPr>
        <w:t>…..</w:t>
      </w:r>
      <w:r w:rsidRPr="00435C58">
        <w:rPr>
          <w:rFonts w:ascii="Times New Roman" w:hAnsi="Times New Roman" w:cs="Times New Roman"/>
          <w:sz w:val="24"/>
          <w:szCs w:val="24"/>
        </w:rPr>
        <w:t xml:space="preserve">. </w:t>
      </w:r>
    </w:p>
    <w:p w:rsidR="00435C58" w:rsidRPr="00A734BF" w:rsidRDefault="00435C58" w:rsidP="00435C58">
      <w:pPr>
        <w:rPr>
          <w:rFonts w:ascii="Times New Roman" w:hAnsi="Times New Roman" w:cs="Times New Roman"/>
          <w:sz w:val="24"/>
          <w:szCs w:val="24"/>
        </w:rPr>
      </w:pPr>
      <w:r w:rsidRPr="00A734BF">
        <w:rPr>
          <w:rFonts w:ascii="Times New Roman" w:hAnsi="Times New Roman" w:cs="Times New Roman"/>
          <w:sz w:val="24"/>
          <w:szCs w:val="24"/>
          <w:u w:val="single"/>
        </w:rPr>
        <w:t>Motivo del incidente de ejecución</w:t>
      </w:r>
      <w:r>
        <w:rPr>
          <w:rFonts w:ascii="Times New Roman" w:hAnsi="Times New Roman" w:cs="Times New Roman"/>
          <w:sz w:val="24"/>
          <w:szCs w:val="24"/>
        </w:rPr>
        <w:t xml:space="preserve">: </w:t>
      </w:r>
      <w:r w:rsidRPr="00435C58">
        <w:rPr>
          <w:rFonts w:ascii="Times New Roman" w:hAnsi="Times New Roman" w:cs="Times New Roman"/>
          <w:sz w:val="24"/>
          <w:szCs w:val="24"/>
        </w:rPr>
        <w:t xml:space="preserve">según informe emitido por el técnico del Consorcio Urbanístico </w:t>
      </w:r>
      <w:proofErr w:type="gramStart"/>
      <w:r w:rsidRPr="00435C58">
        <w:rPr>
          <w:rFonts w:ascii="Times New Roman" w:hAnsi="Times New Roman" w:cs="Times New Roman"/>
          <w:sz w:val="24"/>
          <w:szCs w:val="24"/>
        </w:rPr>
        <w:t xml:space="preserve">del </w:t>
      </w:r>
      <w:r w:rsidR="00A734BF">
        <w:rPr>
          <w:rFonts w:ascii="Times New Roman" w:hAnsi="Times New Roman" w:cs="Times New Roman"/>
          <w:sz w:val="24"/>
          <w:szCs w:val="24"/>
        </w:rPr>
        <w:t>…</w:t>
      </w:r>
      <w:proofErr w:type="gramEnd"/>
      <w:r w:rsidR="00A734BF">
        <w:rPr>
          <w:rFonts w:ascii="Times New Roman" w:hAnsi="Times New Roman" w:cs="Times New Roman"/>
          <w:sz w:val="24"/>
          <w:szCs w:val="24"/>
        </w:rPr>
        <w:t>..</w:t>
      </w:r>
      <w:r w:rsidRPr="00435C58">
        <w:rPr>
          <w:rFonts w:ascii="Times New Roman" w:hAnsi="Times New Roman" w:cs="Times New Roman"/>
          <w:sz w:val="24"/>
          <w:szCs w:val="24"/>
        </w:rPr>
        <w:t>, referente a la adaptación a la normativa de las edificaciones existentes en la C/ Ermita, donde se sitúa la vivienda objeto del prese</w:t>
      </w:r>
      <w:r w:rsidR="00A734BF">
        <w:rPr>
          <w:rFonts w:ascii="Times New Roman" w:hAnsi="Times New Roman" w:cs="Times New Roman"/>
          <w:sz w:val="24"/>
          <w:szCs w:val="24"/>
        </w:rPr>
        <w:t>nt</w:t>
      </w:r>
      <w:r w:rsidRPr="00435C58">
        <w:rPr>
          <w:rFonts w:ascii="Times New Roman" w:hAnsi="Times New Roman" w:cs="Times New Roman"/>
          <w:sz w:val="24"/>
          <w:szCs w:val="24"/>
        </w:rPr>
        <w:t xml:space="preserve">e expediente, </w:t>
      </w:r>
      <w:r w:rsidRPr="00A734BF">
        <w:rPr>
          <w:rFonts w:ascii="Times New Roman" w:hAnsi="Times New Roman" w:cs="Times New Roman"/>
          <w:sz w:val="24"/>
          <w:szCs w:val="24"/>
        </w:rPr>
        <w:t xml:space="preserve">dicha revisión ha declarado fuera de ordenación algunas de las edificaciones, declarando esa zona del municipio como Suelo urbano consolidado, </w:t>
      </w:r>
      <w:r w:rsidR="00733746">
        <w:rPr>
          <w:rFonts w:ascii="Times New Roman" w:hAnsi="Times New Roman" w:cs="Times New Roman"/>
          <w:sz w:val="24"/>
          <w:szCs w:val="24"/>
        </w:rPr>
        <w:t>con tipología de e</w:t>
      </w:r>
      <w:r w:rsidRPr="00A734BF">
        <w:rPr>
          <w:rFonts w:ascii="Times New Roman" w:hAnsi="Times New Roman" w:cs="Times New Roman"/>
          <w:sz w:val="24"/>
          <w:szCs w:val="24"/>
        </w:rPr>
        <w:t>dificación tradicional.</w:t>
      </w:r>
    </w:p>
    <w:p w:rsidR="00A734BF" w:rsidRPr="00A734BF" w:rsidRDefault="00A734BF" w:rsidP="00435C58">
      <w:pPr>
        <w:rPr>
          <w:rFonts w:ascii="Times New Roman" w:hAnsi="Times New Roman" w:cs="Times New Roman"/>
          <w:sz w:val="24"/>
          <w:szCs w:val="24"/>
        </w:rPr>
      </w:pPr>
      <w:r>
        <w:rPr>
          <w:rFonts w:ascii="Times New Roman" w:hAnsi="Times New Roman" w:cs="Times New Roman"/>
          <w:sz w:val="24"/>
          <w:szCs w:val="24"/>
          <w:u w:val="single"/>
        </w:rPr>
        <w:t xml:space="preserve">Consideraciones contenidas en la propuesta de Inspección: </w:t>
      </w:r>
      <w:r w:rsidR="00733746" w:rsidRPr="00733746">
        <w:rPr>
          <w:rFonts w:ascii="Times New Roman" w:hAnsi="Times New Roman" w:cs="Times New Roman"/>
          <w:sz w:val="24"/>
          <w:szCs w:val="24"/>
        </w:rPr>
        <w:t xml:space="preserve">Una </w:t>
      </w:r>
      <w:r w:rsidRPr="00A734BF">
        <w:rPr>
          <w:rFonts w:ascii="Times New Roman" w:hAnsi="Times New Roman" w:cs="Times New Roman"/>
          <w:sz w:val="24"/>
          <w:szCs w:val="24"/>
        </w:rPr>
        <w:t xml:space="preserve">vez que el Ayuntamiento de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sidRPr="00A734BF">
        <w:rPr>
          <w:rFonts w:ascii="Times New Roman" w:hAnsi="Times New Roman" w:cs="Times New Roman"/>
          <w:sz w:val="24"/>
          <w:szCs w:val="24"/>
        </w:rPr>
        <w:t xml:space="preserve"> </w:t>
      </w:r>
      <w:proofErr w:type="gramStart"/>
      <w:r w:rsidRPr="00A734BF">
        <w:rPr>
          <w:rFonts w:ascii="Times New Roman" w:hAnsi="Times New Roman" w:cs="Times New Roman"/>
          <w:sz w:val="24"/>
          <w:szCs w:val="24"/>
        </w:rPr>
        <w:t>ha</w:t>
      </w:r>
      <w:proofErr w:type="gramEnd"/>
      <w:r w:rsidRPr="00A734BF">
        <w:rPr>
          <w:rFonts w:ascii="Times New Roman" w:hAnsi="Times New Roman" w:cs="Times New Roman"/>
          <w:sz w:val="24"/>
          <w:szCs w:val="24"/>
        </w:rPr>
        <w:t xml:space="preserve"> revisado de oficio la licencia, y pueda justificar  la imposibilidad legal de demolición ante el Tribunal Superior de Justicia de Andalucía, la Junta de Andalucía puede, no sólo no oponerse a ello, sino que puede adherirse por entender que dicha falta de demolición no se opone al interés público.</w:t>
      </w:r>
    </w:p>
    <w:p w:rsidR="007540F3" w:rsidRDefault="00435C58" w:rsidP="00435C58">
      <w:pPr>
        <w:rPr>
          <w:rFonts w:ascii="Times New Roman" w:hAnsi="Times New Roman" w:cs="Times New Roman"/>
          <w:sz w:val="24"/>
          <w:szCs w:val="24"/>
        </w:rPr>
      </w:pPr>
      <w:r>
        <w:rPr>
          <w:rFonts w:ascii="Times New Roman" w:hAnsi="Times New Roman" w:cs="Times New Roman"/>
          <w:sz w:val="24"/>
          <w:szCs w:val="24"/>
        </w:rPr>
        <w:t xml:space="preserve">Propuesta de la Inspección en el Incidente de Ejecución: </w:t>
      </w:r>
    </w:p>
    <w:p w:rsidR="00435C58" w:rsidRPr="00435C58" w:rsidRDefault="00435C58" w:rsidP="00435C58">
      <w:pPr>
        <w:pStyle w:val="Prrafodelista"/>
        <w:numPr>
          <w:ilvl w:val="0"/>
          <w:numId w:val="5"/>
        </w:numPr>
        <w:rPr>
          <w:rFonts w:ascii="Times New Roman" w:hAnsi="Times New Roman" w:cs="Times New Roman"/>
          <w:b/>
          <w:sz w:val="24"/>
          <w:szCs w:val="24"/>
        </w:rPr>
      </w:pPr>
      <w:r w:rsidRPr="00435C58">
        <w:rPr>
          <w:rFonts w:ascii="Times New Roman" w:hAnsi="Times New Roman" w:cs="Times New Roman"/>
          <w:sz w:val="24"/>
          <w:szCs w:val="24"/>
        </w:rPr>
        <w:t>Solicitar de la Oficina de Planificación informe técnico sobre la situación en que queda la vivienda afectada por la licencia impugnada tras la Revisión de las Normas aplicables.</w:t>
      </w:r>
    </w:p>
    <w:p w:rsidR="00435C58" w:rsidRPr="00435C58" w:rsidRDefault="00435C58" w:rsidP="00435C58">
      <w:pPr>
        <w:pStyle w:val="Prrafodelista"/>
        <w:numPr>
          <w:ilvl w:val="0"/>
          <w:numId w:val="5"/>
        </w:numPr>
        <w:rPr>
          <w:rFonts w:ascii="Times New Roman" w:hAnsi="Times New Roman" w:cs="Times New Roman"/>
          <w:b/>
          <w:sz w:val="24"/>
          <w:szCs w:val="24"/>
        </w:rPr>
      </w:pPr>
      <w:r w:rsidRPr="00435C58">
        <w:rPr>
          <w:rFonts w:ascii="Times New Roman" w:hAnsi="Times New Roman" w:cs="Times New Roman"/>
          <w:sz w:val="24"/>
          <w:szCs w:val="24"/>
        </w:rPr>
        <w:t>A la vista del citado informe técnico, instar del Ayuntamiento de …</w:t>
      </w:r>
      <w:proofErr w:type="gramStart"/>
      <w:r w:rsidRPr="00435C58">
        <w:rPr>
          <w:rFonts w:ascii="Times New Roman" w:hAnsi="Times New Roman" w:cs="Times New Roman"/>
          <w:sz w:val="24"/>
          <w:szCs w:val="24"/>
        </w:rPr>
        <w:t>..</w:t>
      </w:r>
      <w:proofErr w:type="gramEnd"/>
      <w:r w:rsidRPr="00435C58">
        <w:rPr>
          <w:rFonts w:ascii="Times New Roman" w:hAnsi="Times New Roman" w:cs="Times New Roman"/>
          <w:sz w:val="24"/>
          <w:szCs w:val="24"/>
        </w:rPr>
        <w:t xml:space="preserve"> a la regularización de su situación, de forma que inste judicialmente en el incidente de ejecución la imposibilidad legal de demolición, y la situación de fuera de ordenación en que quedan las obras que amparaban la licencia revisada. </w:t>
      </w:r>
    </w:p>
    <w:p w:rsidR="00435C58" w:rsidRPr="00435C58" w:rsidRDefault="00435C58" w:rsidP="00435C58">
      <w:pPr>
        <w:pStyle w:val="Prrafodelista"/>
        <w:numPr>
          <w:ilvl w:val="0"/>
          <w:numId w:val="5"/>
        </w:numPr>
        <w:rPr>
          <w:rFonts w:ascii="Times New Roman" w:hAnsi="Times New Roman" w:cs="Times New Roman"/>
          <w:sz w:val="24"/>
          <w:szCs w:val="24"/>
        </w:rPr>
      </w:pPr>
      <w:r w:rsidRPr="00435C58">
        <w:rPr>
          <w:rFonts w:ascii="Times New Roman" w:hAnsi="Times New Roman" w:cs="Times New Roman"/>
          <w:sz w:val="24"/>
          <w:szCs w:val="24"/>
        </w:rPr>
        <w:t xml:space="preserve">Solicitar del Gabinete Jurídico de la Junta de Andalucía, en el caso de que por el Tribunal Superior de Justicia de Andalucía se acceda a la petición del Ayuntamiento </w:t>
      </w:r>
      <w:proofErr w:type="gramStart"/>
      <w:r w:rsidRPr="00435C58">
        <w:rPr>
          <w:rFonts w:ascii="Times New Roman" w:hAnsi="Times New Roman" w:cs="Times New Roman"/>
          <w:sz w:val="24"/>
          <w:szCs w:val="24"/>
        </w:rPr>
        <w:t xml:space="preserve">de </w:t>
      </w:r>
      <w:r>
        <w:rPr>
          <w:rFonts w:ascii="Times New Roman" w:hAnsi="Times New Roman" w:cs="Times New Roman"/>
          <w:sz w:val="24"/>
          <w:szCs w:val="24"/>
        </w:rPr>
        <w:t>…</w:t>
      </w:r>
      <w:proofErr w:type="gramEnd"/>
      <w:r>
        <w:rPr>
          <w:rFonts w:ascii="Times New Roman" w:hAnsi="Times New Roman" w:cs="Times New Roman"/>
          <w:sz w:val="24"/>
          <w:szCs w:val="24"/>
        </w:rPr>
        <w:t>.</w:t>
      </w:r>
      <w:r w:rsidRPr="00435C58">
        <w:rPr>
          <w:rFonts w:ascii="Times New Roman" w:hAnsi="Times New Roman" w:cs="Times New Roman"/>
          <w:sz w:val="24"/>
          <w:szCs w:val="24"/>
        </w:rPr>
        <w:t>, que defienda esta resolución judicial.</w:t>
      </w:r>
    </w:p>
    <w:p w:rsidR="00983E5F" w:rsidRDefault="003F4F40" w:rsidP="00435C58">
      <w:pPr>
        <w:rPr>
          <w:rFonts w:ascii="Times New Roman" w:hAnsi="Times New Roman" w:cs="Times New Roman"/>
          <w:b/>
          <w:sz w:val="24"/>
          <w:szCs w:val="24"/>
        </w:rPr>
      </w:pPr>
      <w:r>
        <w:rPr>
          <w:rFonts w:ascii="Times New Roman" w:hAnsi="Times New Roman" w:cs="Times New Roman"/>
          <w:sz w:val="24"/>
          <w:szCs w:val="24"/>
          <w:u w:val="single"/>
        </w:rPr>
        <w:br w:type="page"/>
      </w:r>
      <w:r w:rsidR="00A734BF" w:rsidRPr="00A734BF">
        <w:rPr>
          <w:rFonts w:ascii="Times New Roman" w:hAnsi="Times New Roman" w:cs="Times New Roman"/>
          <w:sz w:val="24"/>
          <w:szCs w:val="24"/>
          <w:u w:val="single"/>
        </w:rPr>
        <w:lastRenderedPageBreak/>
        <w:t>Situación procesal</w:t>
      </w:r>
      <w:r w:rsidR="00A734BF">
        <w:rPr>
          <w:rFonts w:ascii="Times New Roman" w:hAnsi="Times New Roman" w:cs="Times New Roman"/>
          <w:b/>
          <w:sz w:val="24"/>
          <w:szCs w:val="24"/>
        </w:rPr>
        <w:t xml:space="preserve">: </w:t>
      </w:r>
      <w:r w:rsidR="00983E5F" w:rsidRPr="00983E5F">
        <w:rPr>
          <w:rFonts w:ascii="Times New Roman" w:hAnsi="Times New Roman" w:cs="Times New Roman"/>
          <w:sz w:val="24"/>
          <w:szCs w:val="24"/>
        </w:rPr>
        <w:t>Expediente PLU autonómico confirmado por resolución judicial.</w:t>
      </w:r>
      <w:r w:rsidR="00983E5F">
        <w:rPr>
          <w:rFonts w:ascii="Times New Roman" w:hAnsi="Times New Roman" w:cs="Times New Roman"/>
          <w:b/>
          <w:sz w:val="24"/>
          <w:szCs w:val="24"/>
        </w:rPr>
        <w:t xml:space="preserve"> </w:t>
      </w:r>
    </w:p>
    <w:p w:rsidR="00435C58" w:rsidRDefault="00A734BF" w:rsidP="00435C58">
      <w:pPr>
        <w:rPr>
          <w:rFonts w:ascii="Times New Roman" w:hAnsi="Times New Roman" w:cs="Times New Roman"/>
          <w:sz w:val="24"/>
          <w:szCs w:val="24"/>
        </w:rPr>
      </w:pPr>
      <w:r>
        <w:rPr>
          <w:rFonts w:ascii="Times New Roman" w:hAnsi="Times New Roman" w:cs="Times New Roman"/>
          <w:b/>
          <w:sz w:val="24"/>
          <w:szCs w:val="24"/>
        </w:rPr>
        <w:t>C</w:t>
      </w:r>
      <w:r w:rsidRPr="00A734BF">
        <w:rPr>
          <w:rFonts w:ascii="Times New Roman" w:hAnsi="Times New Roman" w:cs="Times New Roman"/>
          <w:sz w:val="24"/>
          <w:szCs w:val="24"/>
        </w:rPr>
        <w:t>umplimiento del fallo de la sentencia judicial nº 602/2005, de 24 de octubre de 2005, dictada por la Sala de lo contencioso-administrativo del Tribunal Superior de Justicia de Andalucía con sede en Granada, sección 2ª.</w:t>
      </w:r>
      <w:r>
        <w:rPr>
          <w:rFonts w:ascii="Times New Roman" w:hAnsi="Times New Roman" w:cs="Times New Roman"/>
          <w:sz w:val="24"/>
          <w:szCs w:val="24"/>
        </w:rPr>
        <w:t xml:space="preserve"> </w:t>
      </w:r>
      <w:r w:rsidRPr="00A734BF">
        <w:rPr>
          <w:rFonts w:ascii="Times New Roman" w:hAnsi="Times New Roman" w:cs="Times New Roman"/>
          <w:sz w:val="24"/>
          <w:szCs w:val="24"/>
        </w:rPr>
        <w:t>Incidente en fase de ejecución nº 2046.1/2008, Ejecutoria 46/2008</w:t>
      </w:r>
      <w:r>
        <w:rPr>
          <w:rFonts w:ascii="Times New Roman" w:hAnsi="Times New Roman" w:cs="Times New Roman"/>
          <w:sz w:val="24"/>
          <w:szCs w:val="24"/>
        </w:rPr>
        <w:t>.</w:t>
      </w:r>
    </w:p>
    <w:p w:rsidR="00983E5F" w:rsidRPr="00983E5F" w:rsidRDefault="00983E5F" w:rsidP="00435C58">
      <w:pPr>
        <w:rPr>
          <w:rFonts w:ascii="Times New Roman" w:hAnsi="Times New Roman" w:cs="Times New Roman"/>
          <w:i/>
          <w:sz w:val="24"/>
          <w:szCs w:val="24"/>
        </w:rPr>
      </w:pPr>
      <w:r w:rsidRPr="00983E5F">
        <w:rPr>
          <w:rFonts w:ascii="Times New Roman" w:hAnsi="Times New Roman" w:cs="Times New Roman"/>
          <w:sz w:val="24"/>
          <w:szCs w:val="24"/>
        </w:rPr>
        <w:t xml:space="preserve">El fallo de la sentencia judicial </w:t>
      </w:r>
      <w:r>
        <w:rPr>
          <w:rFonts w:ascii="Times New Roman" w:hAnsi="Times New Roman" w:cs="Times New Roman"/>
          <w:sz w:val="24"/>
          <w:szCs w:val="24"/>
        </w:rPr>
        <w:t xml:space="preserve">citada  </w:t>
      </w:r>
      <w:r w:rsidRPr="00983E5F">
        <w:rPr>
          <w:rFonts w:ascii="Times New Roman" w:hAnsi="Times New Roman" w:cs="Times New Roman"/>
          <w:i/>
          <w:sz w:val="24"/>
          <w:szCs w:val="24"/>
        </w:rPr>
        <w:t xml:space="preserve">“desestima el recurso contencioso-administrativo interpuesto por la representación procesal de la entidad mercantil </w:t>
      </w:r>
      <w:proofErr w:type="spellStart"/>
      <w:r w:rsidRPr="00983E5F">
        <w:rPr>
          <w:rFonts w:ascii="Times New Roman" w:hAnsi="Times New Roman" w:cs="Times New Roman"/>
          <w:i/>
          <w:sz w:val="24"/>
          <w:szCs w:val="24"/>
        </w:rPr>
        <w:t>Gesuelo</w:t>
      </w:r>
      <w:proofErr w:type="spellEnd"/>
      <w:r w:rsidRPr="00983E5F">
        <w:rPr>
          <w:rFonts w:ascii="Times New Roman" w:hAnsi="Times New Roman" w:cs="Times New Roman"/>
          <w:i/>
          <w:sz w:val="24"/>
          <w:szCs w:val="24"/>
        </w:rPr>
        <w:t>, s.l. contra el acuerdo de la Directora General de Ordenación del Territorio y Urbanismo de fecha 10 de septiembre de 1998, que ordena la demolición de las obras llevadas a cabo por la mercantil citada, consistentes en la construcción de varias viviendas adosadas en el lugar denominado Paraje de La Solana de la Mora, clasificado como suelo no urbanizable, perteneciente al término municipal de ….. (Granada).</w:t>
      </w:r>
    </w:p>
    <w:p w:rsidR="007540F3" w:rsidRPr="00983E5F" w:rsidRDefault="00983E5F" w:rsidP="00983E5F">
      <w:pPr>
        <w:rPr>
          <w:rFonts w:ascii="Times New Roman" w:hAnsi="Times New Roman" w:cs="Times New Roman"/>
          <w:sz w:val="24"/>
          <w:szCs w:val="24"/>
        </w:rPr>
      </w:pPr>
      <w:r w:rsidRPr="00983E5F">
        <w:rPr>
          <w:rFonts w:ascii="Times New Roman" w:hAnsi="Times New Roman" w:cs="Times New Roman"/>
          <w:sz w:val="24"/>
          <w:szCs w:val="24"/>
          <w:u w:val="single"/>
        </w:rPr>
        <w:t>Cuestión planteada</w:t>
      </w:r>
      <w:r>
        <w:rPr>
          <w:rFonts w:ascii="Times New Roman" w:hAnsi="Times New Roman" w:cs="Times New Roman"/>
          <w:sz w:val="24"/>
          <w:szCs w:val="24"/>
        </w:rPr>
        <w:t xml:space="preserve">: </w:t>
      </w:r>
      <w:r w:rsidRPr="00983E5F">
        <w:rPr>
          <w:rFonts w:ascii="Times New Roman" w:hAnsi="Times New Roman" w:cs="Times New Roman"/>
          <w:sz w:val="24"/>
          <w:szCs w:val="24"/>
        </w:rPr>
        <w:t xml:space="preserve"> </w:t>
      </w:r>
      <w:r>
        <w:rPr>
          <w:rFonts w:ascii="Times New Roman" w:hAnsi="Times New Roman" w:cs="Times New Roman"/>
          <w:sz w:val="24"/>
          <w:szCs w:val="24"/>
        </w:rPr>
        <w:t>C</w:t>
      </w:r>
      <w:r w:rsidRPr="00983E5F">
        <w:rPr>
          <w:rFonts w:ascii="Times New Roman" w:hAnsi="Times New Roman" w:cs="Times New Roman"/>
          <w:sz w:val="24"/>
          <w:szCs w:val="24"/>
        </w:rPr>
        <w:t xml:space="preserve">on anterioridad al pronunciamiento judicial concurre uno de los supuestos que la jurisprudencia admite como causa legal de cumplimiento por equivalencia: un nuevo instrumento de planeamiento urbanístico general aprobado con carácter definitivo habilita la realización de los actos que al tiempo de dictarse la resolución finalizadora del procedimiento de legalidad urbanística no eran autorizables, vinculando los terrenos, construcciones y edificaciones erigidas con anterioridad al destino que resulte de su clasificación y calificación, y al régimen urbanístico que consecuentemente le sea de aplicación.  </w:t>
      </w:r>
    </w:p>
    <w:p w:rsidR="00983E5F" w:rsidRDefault="00983E5F" w:rsidP="00983E5F">
      <w:pPr>
        <w:rPr>
          <w:rFonts w:ascii="Times New Roman" w:hAnsi="Times New Roman" w:cs="Times New Roman"/>
          <w:b/>
          <w:sz w:val="24"/>
          <w:szCs w:val="24"/>
        </w:rPr>
      </w:pPr>
      <w:r w:rsidRPr="00983E5F">
        <w:rPr>
          <w:rFonts w:ascii="Times New Roman" w:hAnsi="Times New Roman" w:cs="Times New Roman"/>
          <w:sz w:val="24"/>
          <w:szCs w:val="24"/>
          <w:u w:val="single"/>
        </w:rPr>
        <w:t>Propuesta de Inspección en el Incidente de Ejecución planteado</w:t>
      </w:r>
      <w:r>
        <w:rPr>
          <w:rFonts w:ascii="Times New Roman" w:hAnsi="Times New Roman" w:cs="Times New Roman"/>
          <w:b/>
          <w:sz w:val="24"/>
          <w:szCs w:val="24"/>
        </w:rPr>
        <w:t xml:space="preserve">: </w:t>
      </w:r>
    </w:p>
    <w:p w:rsidR="00983E5F" w:rsidRPr="00983E5F" w:rsidRDefault="00983E5F" w:rsidP="00983E5F">
      <w:pPr>
        <w:pStyle w:val="Prrafodelista"/>
        <w:numPr>
          <w:ilvl w:val="0"/>
          <w:numId w:val="6"/>
        </w:numPr>
        <w:rPr>
          <w:rFonts w:ascii="Times New Roman" w:hAnsi="Times New Roman" w:cs="Times New Roman"/>
          <w:sz w:val="24"/>
          <w:szCs w:val="24"/>
        </w:rPr>
      </w:pPr>
      <w:r w:rsidRPr="00983E5F">
        <w:rPr>
          <w:rFonts w:ascii="Times New Roman" w:hAnsi="Times New Roman" w:cs="Times New Roman"/>
          <w:b/>
          <w:sz w:val="24"/>
          <w:szCs w:val="24"/>
        </w:rPr>
        <w:t>C</w:t>
      </w:r>
      <w:r w:rsidRPr="00983E5F">
        <w:rPr>
          <w:rFonts w:ascii="Times New Roman" w:hAnsi="Times New Roman" w:cs="Times New Roman"/>
          <w:sz w:val="24"/>
          <w:szCs w:val="24"/>
        </w:rPr>
        <w:t>umplimiento por equivalencia de la resolución de fecha 10 de septiembre de 1998 en los siguientes términos: en el plazo de dos meses deberá acreditarse ante este Centro Directivo la aprobación del Proyecto de Urbanización y del Proyecto de Reparcelación, su inscripción registral, así como el efectivo cumplimiento de la equidistribución de cargas y beneficios legalmente establecidos.</w:t>
      </w:r>
    </w:p>
    <w:p w:rsidR="00983E5F" w:rsidRPr="00983E5F" w:rsidRDefault="00983E5F" w:rsidP="00983E5F">
      <w:pPr>
        <w:pStyle w:val="Prrafodelista"/>
        <w:numPr>
          <w:ilvl w:val="0"/>
          <w:numId w:val="6"/>
        </w:numPr>
        <w:rPr>
          <w:rFonts w:ascii="Times New Roman" w:hAnsi="Times New Roman" w:cs="Times New Roman"/>
          <w:sz w:val="24"/>
          <w:szCs w:val="24"/>
        </w:rPr>
      </w:pPr>
      <w:r w:rsidRPr="00983E5F">
        <w:rPr>
          <w:rFonts w:ascii="Times New Roman" w:hAnsi="Times New Roman" w:cs="Times New Roman"/>
          <w:sz w:val="24"/>
          <w:szCs w:val="24"/>
        </w:rPr>
        <w:t xml:space="preserve"> Transcurrido dicho plazo sin acreditar el cumplimiento por equivalencia, deberá procederse sin demora al cumplimiento de la resolución de fecha 24 de octubre de 1998 en sus justos términos, compeliendo a los propietarios de las seis viviendas objeto de la resolución a demoler voluntariamente las mismas, bajo el apercibimiento de la sucesiva imposición de multas coercitivas en los términos que establezca la legislación vigente. </w:t>
      </w:r>
    </w:p>
    <w:p w:rsidR="003F4F40" w:rsidRDefault="003F4F40" w:rsidP="008A7FBE">
      <w:pPr>
        <w:rPr>
          <w:rFonts w:ascii="Times New Roman" w:hAnsi="Times New Roman" w:cs="Times New Roman"/>
          <w:b/>
          <w:sz w:val="24"/>
          <w:szCs w:val="24"/>
        </w:rPr>
      </w:pPr>
    </w:p>
    <w:p w:rsidR="007540F3" w:rsidRDefault="003F4F40" w:rsidP="008A7FBE">
      <w:pPr>
        <w:rPr>
          <w:rFonts w:ascii="Times New Roman" w:hAnsi="Times New Roman" w:cs="Times New Roman"/>
          <w:b/>
          <w:sz w:val="24"/>
          <w:szCs w:val="24"/>
        </w:rPr>
      </w:pPr>
      <w:r>
        <w:rPr>
          <w:rFonts w:ascii="Times New Roman" w:hAnsi="Times New Roman" w:cs="Times New Roman"/>
          <w:b/>
          <w:sz w:val="24"/>
          <w:szCs w:val="24"/>
        </w:rPr>
        <w:t xml:space="preserve">PROVINCIA DE ALMERÍA. </w:t>
      </w:r>
      <w:r w:rsidR="008A7FBE">
        <w:rPr>
          <w:rFonts w:ascii="Times New Roman" w:hAnsi="Times New Roman" w:cs="Times New Roman"/>
          <w:b/>
          <w:sz w:val="24"/>
          <w:szCs w:val="24"/>
        </w:rPr>
        <w:t xml:space="preserve"> </w:t>
      </w:r>
    </w:p>
    <w:p w:rsidR="00CF4006" w:rsidRDefault="00CF4006" w:rsidP="00CF4006">
      <w:pPr>
        <w:spacing w:line="240" w:lineRule="auto"/>
        <w:rPr>
          <w:rFonts w:ascii="Times New Roman" w:hAnsi="Times New Roman" w:cs="Times New Roman"/>
          <w:sz w:val="24"/>
          <w:szCs w:val="24"/>
        </w:rPr>
      </w:pPr>
      <w:r w:rsidRPr="00CF4006">
        <w:rPr>
          <w:rFonts w:ascii="Times New Roman" w:hAnsi="Times New Roman" w:cs="Times New Roman"/>
          <w:sz w:val="24"/>
          <w:szCs w:val="24"/>
          <w:u w:val="single"/>
        </w:rPr>
        <w:t>Situación procesal</w:t>
      </w:r>
      <w:r>
        <w:rPr>
          <w:rFonts w:ascii="Times New Roman" w:hAnsi="Times New Roman" w:cs="Times New Roman"/>
          <w:sz w:val="24"/>
          <w:szCs w:val="24"/>
        </w:rPr>
        <w:t xml:space="preserve">: Incidente de Ejecución promovido por la </w:t>
      </w:r>
      <w:r w:rsidRPr="00CF4006">
        <w:rPr>
          <w:rFonts w:ascii="Times New Roman" w:hAnsi="Times New Roman" w:cs="Times New Roman"/>
          <w:sz w:val="24"/>
          <w:szCs w:val="24"/>
        </w:rPr>
        <w:t xml:space="preserve">representación procesal del Ayuntamiento </w:t>
      </w:r>
      <w:proofErr w:type="gramStart"/>
      <w:r w:rsidRPr="00CF4006">
        <w:rPr>
          <w:rFonts w:ascii="Times New Roman" w:hAnsi="Times New Roman" w:cs="Times New Roman"/>
          <w:sz w:val="24"/>
          <w:szCs w:val="24"/>
        </w:rPr>
        <w:t xml:space="preserve">de </w:t>
      </w:r>
      <w:r>
        <w:rPr>
          <w:rFonts w:ascii="Times New Roman" w:hAnsi="Times New Roman" w:cs="Times New Roman"/>
          <w:sz w:val="24"/>
          <w:szCs w:val="24"/>
        </w:rPr>
        <w:t>…</w:t>
      </w:r>
      <w:proofErr w:type="gramEnd"/>
      <w:r>
        <w:rPr>
          <w:rFonts w:ascii="Times New Roman" w:hAnsi="Times New Roman" w:cs="Times New Roman"/>
          <w:sz w:val="24"/>
          <w:szCs w:val="24"/>
        </w:rPr>
        <w:t>………..</w:t>
      </w:r>
      <w:r w:rsidRPr="00CF4006">
        <w:rPr>
          <w:rFonts w:ascii="Times New Roman" w:hAnsi="Times New Roman" w:cs="Times New Roman"/>
          <w:sz w:val="24"/>
          <w:szCs w:val="24"/>
        </w:rPr>
        <w:t xml:space="preserve"> alegando</w:t>
      </w:r>
      <w:r>
        <w:rPr>
          <w:rFonts w:ascii="Times New Roman" w:hAnsi="Times New Roman" w:cs="Times New Roman"/>
          <w:sz w:val="24"/>
          <w:szCs w:val="24"/>
        </w:rPr>
        <w:t xml:space="preserve"> </w:t>
      </w:r>
      <w:r w:rsidRPr="00CF4006">
        <w:rPr>
          <w:rFonts w:ascii="Times New Roman" w:hAnsi="Times New Roman" w:cs="Times New Roman"/>
          <w:sz w:val="24"/>
          <w:szCs w:val="24"/>
        </w:rPr>
        <w:t>imposibilidad legal de ejecutar la S. firme núm. 1480 de 26 de mayo de 2014, dictada por la</w:t>
      </w:r>
      <w:r>
        <w:rPr>
          <w:rFonts w:ascii="Times New Roman" w:hAnsi="Times New Roman" w:cs="Times New Roman"/>
          <w:sz w:val="24"/>
          <w:szCs w:val="24"/>
        </w:rPr>
        <w:t xml:space="preserve"> </w:t>
      </w:r>
      <w:r w:rsidRPr="00CF4006">
        <w:rPr>
          <w:rFonts w:ascii="Times New Roman" w:hAnsi="Times New Roman" w:cs="Times New Roman"/>
          <w:sz w:val="24"/>
          <w:szCs w:val="24"/>
        </w:rPr>
        <w:t>Sala de lo Contencioso del TSJA con sede en Granada, en la que se acuerda estimar el recurso</w:t>
      </w:r>
      <w:r>
        <w:rPr>
          <w:rFonts w:ascii="Times New Roman" w:hAnsi="Times New Roman" w:cs="Times New Roman"/>
          <w:sz w:val="24"/>
          <w:szCs w:val="24"/>
        </w:rPr>
        <w:t xml:space="preserve"> </w:t>
      </w:r>
      <w:r w:rsidRPr="00CF4006">
        <w:rPr>
          <w:rFonts w:ascii="Times New Roman" w:hAnsi="Times New Roman" w:cs="Times New Roman"/>
          <w:sz w:val="24"/>
          <w:szCs w:val="24"/>
        </w:rPr>
        <w:t>de apelación interpuesto por la Junta de Andalucía y anular el Acuerdo de concesión de</w:t>
      </w:r>
      <w:r>
        <w:rPr>
          <w:rFonts w:ascii="Times New Roman" w:hAnsi="Times New Roman" w:cs="Times New Roman"/>
          <w:sz w:val="24"/>
          <w:szCs w:val="24"/>
        </w:rPr>
        <w:t xml:space="preserve"> </w:t>
      </w:r>
      <w:r w:rsidRPr="00CF4006">
        <w:rPr>
          <w:rFonts w:ascii="Times New Roman" w:hAnsi="Times New Roman" w:cs="Times New Roman"/>
          <w:sz w:val="24"/>
          <w:szCs w:val="24"/>
        </w:rPr>
        <w:t>licencia otorgado por la referida Corporación Local con fecha 16 de abril de 2007</w:t>
      </w:r>
      <w:r>
        <w:rPr>
          <w:rFonts w:ascii="Times New Roman" w:hAnsi="Times New Roman" w:cs="Times New Roman"/>
          <w:sz w:val="24"/>
          <w:szCs w:val="24"/>
        </w:rPr>
        <w:t xml:space="preserve"> </w:t>
      </w:r>
      <w:r w:rsidRPr="00CF4006">
        <w:rPr>
          <w:rFonts w:ascii="Times New Roman" w:hAnsi="Times New Roman" w:cs="Times New Roman"/>
          <w:sz w:val="24"/>
          <w:szCs w:val="24"/>
        </w:rPr>
        <w:t>para la</w:t>
      </w:r>
      <w:r>
        <w:rPr>
          <w:rFonts w:ascii="Times New Roman" w:hAnsi="Times New Roman" w:cs="Times New Roman"/>
          <w:sz w:val="24"/>
          <w:szCs w:val="24"/>
        </w:rPr>
        <w:t xml:space="preserve"> </w:t>
      </w:r>
      <w:r w:rsidRPr="00CF4006">
        <w:rPr>
          <w:rFonts w:ascii="Times New Roman" w:hAnsi="Times New Roman" w:cs="Times New Roman"/>
          <w:sz w:val="24"/>
          <w:szCs w:val="24"/>
        </w:rPr>
        <w:t>construcción de 13 viviendas, locales, garajes y trasteros (expediente municipal nº 113/06) a</w:t>
      </w:r>
      <w:r>
        <w:rPr>
          <w:rFonts w:ascii="Times New Roman" w:hAnsi="Times New Roman" w:cs="Times New Roman"/>
          <w:sz w:val="24"/>
          <w:szCs w:val="24"/>
        </w:rPr>
        <w:t xml:space="preserve"> </w:t>
      </w:r>
      <w:r w:rsidRPr="00CF4006">
        <w:rPr>
          <w:rFonts w:ascii="Times New Roman" w:hAnsi="Times New Roman" w:cs="Times New Roman"/>
          <w:sz w:val="24"/>
          <w:szCs w:val="24"/>
        </w:rPr>
        <w:t>la mercantil “</w:t>
      </w:r>
      <w:r>
        <w:rPr>
          <w:rFonts w:ascii="Times New Roman" w:hAnsi="Times New Roman" w:cs="Times New Roman"/>
          <w:sz w:val="24"/>
          <w:szCs w:val="24"/>
        </w:rPr>
        <w:t>…………..</w:t>
      </w:r>
      <w:r w:rsidRPr="00CF4006">
        <w:rPr>
          <w:rFonts w:ascii="Times New Roman" w:hAnsi="Times New Roman" w:cs="Times New Roman"/>
          <w:sz w:val="24"/>
          <w:szCs w:val="24"/>
        </w:rPr>
        <w:t xml:space="preserve"> S.L”.</w:t>
      </w:r>
    </w:p>
    <w:p w:rsidR="00CF4006" w:rsidRPr="00CF4006" w:rsidRDefault="00CF4006" w:rsidP="00CF4006">
      <w:pPr>
        <w:spacing w:line="240" w:lineRule="auto"/>
        <w:rPr>
          <w:rFonts w:ascii="Times New Roman" w:hAnsi="Times New Roman" w:cs="Times New Roman"/>
          <w:sz w:val="24"/>
          <w:szCs w:val="24"/>
        </w:rPr>
      </w:pPr>
      <w:r w:rsidRPr="00CF4006">
        <w:rPr>
          <w:rFonts w:ascii="Times New Roman" w:hAnsi="Times New Roman" w:cs="Times New Roman"/>
          <w:sz w:val="24"/>
          <w:szCs w:val="24"/>
          <w:u w:val="single"/>
        </w:rPr>
        <w:lastRenderedPageBreak/>
        <w:t>Invocación del Ayuntamiento en el seno del Incidente</w:t>
      </w:r>
      <w:r>
        <w:rPr>
          <w:rFonts w:ascii="Times New Roman" w:hAnsi="Times New Roman" w:cs="Times New Roman"/>
          <w:sz w:val="24"/>
          <w:szCs w:val="24"/>
        </w:rPr>
        <w:t xml:space="preserve">:  </w:t>
      </w:r>
      <w:r w:rsidRPr="00CF4006">
        <w:rPr>
          <w:rFonts w:ascii="Times New Roman" w:hAnsi="Times New Roman" w:cs="Times New Roman"/>
          <w:sz w:val="24"/>
          <w:szCs w:val="24"/>
        </w:rPr>
        <w:t>En el análisis de los requisitos exigidos por la jurisprudencia en relación con el supuesto excepcional de</w:t>
      </w:r>
      <w:r>
        <w:rPr>
          <w:rFonts w:ascii="Times New Roman" w:hAnsi="Times New Roman" w:cs="Times New Roman"/>
          <w:sz w:val="24"/>
          <w:szCs w:val="24"/>
        </w:rPr>
        <w:t xml:space="preserve"> </w:t>
      </w:r>
      <w:r w:rsidRPr="00CF4006">
        <w:rPr>
          <w:rFonts w:ascii="Times New Roman" w:hAnsi="Times New Roman" w:cs="Times New Roman"/>
          <w:sz w:val="24"/>
          <w:szCs w:val="24"/>
        </w:rPr>
        <w:t>imposibilidad legal de ejecutar las Sentencias en sus propios términos para el caso concreto planteado por la</w:t>
      </w:r>
      <w:r>
        <w:rPr>
          <w:rFonts w:ascii="Times New Roman" w:hAnsi="Times New Roman" w:cs="Times New Roman"/>
          <w:sz w:val="24"/>
          <w:szCs w:val="24"/>
        </w:rPr>
        <w:t xml:space="preserve"> </w:t>
      </w:r>
      <w:r w:rsidRPr="00CF4006">
        <w:rPr>
          <w:rFonts w:ascii="Times New Roman" w:hAnsi="Times New Roman" w:cs="Times New Roman"/>
          <w:sz w:val="24"/>
          <w:szCs w:val="24"/>
        </w:rPr>
        <w:t xml:space="preserve">representación procesal del Ayuntamiento de </w:t>
      </w:r>
      <w:r>
        <w:rPr>
          <w:rFonts w:ascii="Times New Roman" w:hAnsi="Times New Roman" w:cs="Times New Roman"/>
          <w:sz w:val="24"/>
          <w:szCs w:val="24"/>
        </w:rPr>
        <w:t>……………</w:t>
      </w:r>
      <w:r w:rsidRPr="00CF4006">
        <w:rPr>
          <w:rFonts w:ascii="Times New Roman" w:hAnsi="Times New Roman" w:cs="Times New Roman"/>
          <w:sz w:val="24"/>
          <w:szCs w:val="24"/>
        </w:rPr>
        <w:t>, aparecen acreditados los requisitos</w:t>
      </w:r>
      <w:r>
        <w:rPr>
          <w:rFonts w:ascii="Times New Roman" w:hAnsi="Times New Roman" w:cs="Times New Roman"/>
          <w:sz w:val="24"/>
          <w:szCs w:val="24"/>
        </w:rPr>
        <w:t xml:space="preserve"> </w:t>
      </w:r>
      <w:r w:rsidRPr="00CF4006">
        <w:rPr>
          <w:rFonts w:ascii="Times New Roman" w:hAnsi="Times New Roman" w:cs="Times New Roman"/>
          <w:sz w:val="24"/>
          <w:szCs w:val="24"/>
        </w:rPr>
        <w:t xml:space="preserve">relativos al planeamiento sobrevenido (el PGOU de </w:t>
      </w:r>
      <w:r>
        <w:rPr>
          <w:rFonts w:ascii="Times New Roman" w:hAnsi="Times New Roman" w:cs="Times New Roman"/>
          <w:sz w:val="24"/>
          <w:szCs w:val="24"/>
        </w:rPr>
        <w:t>………….</w:t>
      </w:r>
      <w:r w:rsidRPr="00CF4006">
        <w:rPr>
          <w:rFonts w:ascii="Times New Roman" w:hAnsi="Times New Roman" w:cs="Times New Roman"/>
          <w:sz w:val="24"/>
          <w:szCs w:val="24"/>
        </w:rPr>
        <w:t xml:space="preserve"> que clasifica los terrenos como</w:t>
      </w:r>
      <w:r>
        <w:rPr>
          <w:rFonts w:ascii="Times New Roman" w:hAnsi="Times New Roman" w:cs="Times New Roman"/>
          <w:sz w:val="24"/>
          <w:szCs w:val="24"/>
        </w:rPr>
        <w:t xml:space="preserve"> </w:t>
      </w:r>
      <w:r w:rsidRPr="00CF4006">
        <w:rPr>
          <w:rFonts w:ascii="Times New Roman" w:hAnsi="Times New Roman" w:cs="Times New Roman"/>
          <w:sz w:val="24"/>
          <w:szCs w:val="24"/>
        </w:rPr>
        <w:t>suelo urbano consolidado ha sido objeto de aprobación definitiva el 26/02/2008; y publicado en el BOJA el</w:t>
      </w:r>
      <w:r>
        <w:rPr>
          <w:rFonts w:ascii="Times New Roman" w:hAnsi="Times New Roman" w:cs="Times New Roman"/>
          <w:sz w:val="24"/>
          <w:szCs w:val="24"/>
        </w:rPr>
        <w:t xml:space="preserve"> </w:t>
      </w:r>
      <w:r w:rsidRPr="00CF4006">
        <w:rPr>
          <w:rFonts w:ascii="Times New Roman" w:hAnsi="Times New Roman" w:cs="Times New Roman"/>
          <w:sz w:val="24"/>
          <w:szCs w:val="24"/>
        </w:rPr>
        <w:t>30/07/2008).</w:t>
      </w:r>
    </w:p>
    <w:p w:rsidR="007540F3" w:rsidRPr="00CF4006" w:rsidRDefault="00CF4006" w:rsidP="00CF4006">
      <w:pPr>
        <w:spacing w:line="240" w:lineRule="auto"/>
        <w:rPr>
          <w:rFonts w:ascii="Times New Roman" w:hAnsi="Times New Roman" w:cs="Times New Roman"/>
          <w:sz w:val="24"/>
          <w:szCs w:val="24"/>
          <w:u w:val="single"/>
        </w:rPr>
      </w:pPr>
      <w:r w:rsidRPr="00CF4006">
        <w:rPr>
          <w:rFonts w:ascii="Times New Roman" w:hAnsi="Times New Roman" w:cs="Times New Roman"/>
          <w:sz w:val="24"/>
          <w:szCs w:val="24"/>
          <w:u w:val="single"/>
        </w:rPr>
        <w:t xml:space="preserve">Propuesta de la Inspección en el seno del Incidente: </w:t>
      </w:r>
    </w:p>
    <w:p w:rsidR="00CF4006" w:rsidRPr="00CF4006" w:rsidRDefault="00CF4006" w:rsidP="00CF4006">
      <w:pPr>
        <w:rPr>
          <w:rFonts w:ascii="Times New Roman" w:hAnsi="Times New Roman" w:cs="Times New Roman"/>
          <w:sz w:val="24"/>
          <w:szCs w:val="24"/>
        </w:rPr>
      </w:pPr>
      <w:r>
        <w:rPr>
          <w:rFonts w:ascii="Times New Roman" w:hAnsi="Times New Roman" w:cs="Times New Roman"/>
          <w:sz w:val="24"/>
          <w:szCs w:val="24"/>
        </w:rPr>
        <w:t>“</w:t>
      </w:r>
      <w:r w:rsidRPr="00CF4006">
        <w:rPr>
          <w:rFonts w:ascii="Times New Roman" w:hAnsi="Times New Roman" w:cs="Times New Roman"/>
          <w:sz w:val="24"/>
          <w:szCs w:val="24"/>
        </w:rPr>
        <w:t>Sin perjuicio de la decisión judicial al</w:t>
      </w:r>
      <w:r>
        <w:rPr>
          <w:rFonts w:ascii="Times New Roman" w:hAnsi="Times New Roman" w:cs="Times New Roman"/>
          <w:sz w:val="24"/>
          <w:szCs w:val="24"/>
        </w:rPr>
        <w:t xml:space="preserve"> </w:t>
      </w:r>
      <w:r w:rsidRPr="00CF4006">
        <w:rPr>
          <w:rFonts w:ascii="Times New Roman" w:hAnsi="Times New Roman" w:cs="Times New Roman"/>
          <w:sz w:val="24"/>
          <w:szCs w:val="24"/>
        </w:rPr>
        <w:t>respecto, y tal y como informa el propio Secretario del Ayuntamiento, la legalización efectiva del edificio (la</w:t>
      </w:r>
      <w:r>
        <w:rPr>
          <w:rFonts w:ascii="Times New Roman" w:hAnsi="Times New Roman" w:cs="Times New Roman"/>
          <w:sz w:val="24"/>
          <w:szCs w:val="24"/>
        </w:rPr>
        <w:t xml:space="preserve"> </w:t>
      </w:r>
      <w:r w:rsidRPr="00CF4006">
        <w:rPr>
          <w:rFonts w:ascii="Times New Roman" w:hAnsi="Times New Roman" w:cs="Times New Roman"/>
          <w:sz w:val="24"/>
          <w:szCs w:val="24"/>
        </w:rPr>
        <w:t>licencia que lo amparaba se ha declarado nula por resolución judicial firme) precisa el otorgamiento de</w:t>
      </w:r>
      <w:r>
        <w:rPr>
          <w:rFonts w:ascii="Times New Roman" w:hAnsi="Times New Roman" w:cs="Times New Roman"/>
          <w:sz w:val="24"/>
          <w:szCs w:val="24"/>
        </w:rPr>
        <w:t xml:space="preserve"> </w:t>
      </w:r>
      <w:r w:rsidRPr="00CF4006">
        <w:rPr>
          <w:rFonts w:ascii="Times New Roman" w:hAnsi="Times New Roman" w:cs="Times New Roman"/>
          <w:sz w:val="24"/>
          <w:szCs w:val="24"/>
        </w:rPr>
        <w:t>nueva licencia, no bastando la comunicación de este hecho a los interesados, momento en el que se ha de</w:t>
      </w:r>
      <w:r>
        <w:rPr>
          <w:rFonts w:ascii="Times New Roman" w:hAnsi="Times New Roman" w:cs="Times New Roman"/>
          <w:sz w:val="24"/>
          <w:szCs w:val="24"/>
        </w:rPr>
        <w:t xml:space="preserve"> </w:t>
      </w:r>
      <w:r w:rsidRPr="00CF4006">
        <w:rPr>
          <w:rFonts w:ascii="Times New Roman" w:hAnsi="Times New Roman" w:cs="Times New Roman"/>
          <w:sz w:val="24"/>
          <w:szCs w:val="24"/>
        </w:rPr>
        <w:t>comprobar por los servicios municipales:</w:t>
      </w:r>
    </w:p>
    <w:p w:rsidR="00CF4006" w:rsidRPr="00CF4006" w:rsidRDefault="00CF4006" w:rsidP="00CF4006">
      <w:pPr>
        <w:ind w:left="708"/>
        <w:rPr>
          <w:rFonts w:ascii="Times New Roman" w:hAnsi="Times New Roman" w:cs="Times New Roman"/>
          <w:sz w:val="24"/>
          <w:szCs w:val="24"/>
        </w:rPr>
      </w:pPr>
      <w:r w:rsidRPr="00CF4006">
        <w:rPr>
          <w:rFonts w:ascii="Times New Roman" w:hAnsi="Times New Roman" w:cs="Times New Roman"/>
          <w:sz w:val="24"/>
          <w:szCs w:val="24"/>
        </w:rPr>
        <w:t>- que efectivamente la urbanización fue correctamente ejecutada, y en todo caso, en las condiciones</w:t>
      </w:r>
      <w:r>
        <w:rPr>
          <w:rFonts w:ascii="Times New Roman" w:hAnsi="Times New Roman" w:cs="Times New Roman"/>
          <w:sz w:val="24"/>
          <w:szCs w:val="24"/>
        </w:rPr>
        <w:t xml:space="preserve"> </w:t>
      </w:r>
      <w:r w:rsidRPr="00CF4006">
        <w:rPr>
          <w:rFonts w:ascii="Times New Roman" w:hAnsi="Times New Roman" w:cs="Times New Roman"/>
          <w:sz w:val="24"/>
          <w:szCs w:val="24"/>
        </w:rPr>
        <w:t>de seguridad, salubridad, accesibilidad universal y ornato legalmente exigibles en el momento de</w:t>
      </w:r>
      <w:r>
        <w:rPr>
          <w:rFonts w:ascii="Times New Roman" w:hAnsi="Times New Roman" w:cs="Times New Roman"/>
          <w:sz w:val="24"/>
          <w:szCs w:val="24"/>
        </w:rPr>
        <w:t xml:space="preserve"> </w:t>
      </w:r>
      <w:r w:rsidRPr="00CF4006">
        <w:rPr>
          <w:rFonts w:ascii="Times New Roman" w:hAnsi="Times New Roman" w:cs="Times New Roman"/>
          <w:sz w:val="24"/>
          <w:szCs w:val="24"/>
        </w:rPr>
        <w:t xml:space="preserve">otorgamiento de la nueva licencia </w:t>
      </w:r>
      <w:proofErr w:type="gramStart"/>
      <w:r w:rsidRPr="00CF4006">
        <w:rPr>
          <w:rFonts w:ascii="Times New Roman" w:hAnsi="Times New Roman" w:cs="Times New Roman"/>
          <w:sz w:val="24"/>
          <w:szCs w:val="24"/>
        </w:rPr>
        <w:t>( art</w:t>
      </w:r>
      <w:proofErr w:type="gramEnd"/>
      <w:r w:rsidRPr="00CF4006">
        <w:rPr>
          <w:rFonts w:ascii="Times New Roman" w:hAnsi="Times New Roman" w:cs="Times New Roman"/>
          <w:sz w:val="24"/>
          <w:szCs w:val="24"/>
        </w:rPr>
        <w:t>. 9,1 TRLS 2008) y</w:t>
      </w:r>
    </w:p>
    <w:p w:rsidR="00CF4006" w:rsidRPr="00CF4006" w:rsidRDefault="00CF4006" w:rsidP="00CF4006">
      <w:pPr>
        <w:ind w:left="708"/>
        <w:rPr>
          <w:rFonts w:ascii="Times New Roman" w:hAnsi="Times New Roman" w:cs="Times New Roman"/>
          <w:sz w:val="24"/>
          <w:szCs w:val="24"/>
        </w:rPr>
      </w:pPr>
      <w:r w:rsidRPr="00CF4006">
        <w:rPr>
          <w:rFonts w:ascii="Times New Roman" w:hAnsi="Times New Roman" w:cs="Times New Roman"/>
          <w:sz w:val="24"/>
          <w:szCs w:val="24"/>
        </w:rPr>
        <w:t xml:space="preserve">- que, en garantía del principio de equidistribución, constan inscritas en el Registro de la </w:t>
      </w:r>
      <w:r>
        <w:rPr>
          <w:rFonts w:ascii="Times New Roman" w:hAnsi="Times New Roman" w:cs="Times New Roman"/>
          <w:sz w:val="24"/>
          <w:szCs w:val="24"/>
        </w:rPr>
        <w:t>p</w:t>
      </w:r>
      <w:r w:rsidRPr="00CF4006">
        <w:rPr>
          <w:rFonts w:ascii="Times New Roman" w:hAnsi="Times New Roman" w:cs="Times New Roman"/>
          <w:sz w:val="24"/>
          <w:szCs w:val="24"/>
        </w:rPr>
        <w:t>ropiedad a</w:t>
      </w:r>
      <w:r>
        <w:rPr>
          <w:rFonts w:ascii="Times New Roman" w:hAnsi="Times New Roman" w:cs="Times New Roman"/>
          <w:sz w:val="24"/>
          <w:szCs w:val="24"/>
        </w:rPr>
        <w:t xml:space="preserve"> </w:t>
      </w:r>
      <w:r w:rsidRPr="00CF4006">
        <w:rPr>
          <w:rFonts w:ascii="Times New Roman" w:hAnsi="Times New Roman" w:cs="Times New Roman"/>
          <w:sz w:val="24"/>
          <w:szCs w:val="24"/>
        </w:rPr>
        <w:t>favor de la Administración las dotaciones y espacios libres de cesión obligatoria en cumplimiento de</w:t>
      </w:r>
      <w:r>
        <w:rPr>
          <w:rFonts w:ascii="Times New Roman" w:hAnsi="Times New Roman" w:cs="Times New Roman"/>
          <w:sz w:val="24"/>
          <w:szCs w:val="24"/>
        </w:rPr>
        <w:t xml:space="preserve"> </w:t>
      </w:r>
      <w:r w:rsidRPr="00CF4006">
        <w:rPr>
          <w:rFonts w:ascii="Times New Roman" w:hAnsi="Times New Roman" w:cs="Times New Roman"/>
          <w:sz w:val="24"/>
          <w:szCs w:val="24"/>
        </w:rPr>
        <w:t>los deberes y cargas urbanísticas, no bastando, como se afirma en los informes técnicos remitidos</w:t>
      </w:r>
      <w:r>
        <w:rPr>
          <w:rFonts w:ascii="Times New Roman" w:hAnsi="Times New Roman" w:cs="Times New Roman"/>
          <w:sz w:val="24"/>
          <w:szCs w:val="24"/>
        </w:rPr>
        <w:t xml:space="preserve"> </w:t>
      </w:r>
      <w:r w:rsidRPr="00CF4006">
        <w:rPr>
          <w:rFonts w:ascii="Times New Roman" w:hAnsi="Times New Roman" w:cs="Times New Roman"/>
          <w:sz w:val="24"/>
          <w:szCs w:val="24"/>
        </w:rPr>
        <w:t>por el Ayuntamiento “que el Ayuntamiento haya tomado posesión de las cesiones de equipamientos y</w:t>
      </w:r>
      <w:r>
        <w:rPr>
          <w:rFonts w:ascii="Times New Roman" w:hAnsi="Times New Roman" w:cs="Times New Roman"/>
          <w:sz w:val="24"/>
          <w:szCs w:val="24"/>
        </w:rPr>
        <w:t xml:space="preserve"> </w:t>
      </w:r>
      <w:r w:rsidRPr="00CF4006">
        <w:rPr>
          <w:rFonts w:ascii="Times New Roman" w:hAnsi="Times New Roman" w:cs="Times New Roman"/>
          <w:sz w:val="24"/>
          <w:szCs w:val="24"/>
        </w:rPr>
        <w:t>espacios libres, haciendo uso continuado de ellas</w:t>
      </w:r>
      <w:proofErr w:type="gramStart"/>
      <w:r w:rsidRPr="00CF4006">
        <w:rPr>
          <w:rFonts w:ascii="Times New Roman" w:hAnsi="Times New Roman" w:cs="Times New Roman"/>
          <w:sz w:val="24"/>
          <w:szCs w:val="24"/>
        </w:rPr>
        <w:t>" .</w:t>
      </w:r>
      <w:proofErr w:type="gramEnd"/>
    </w:p>
    <w:p w:rsidR="007540F3" w:rsidRPr="00CF4006" w:rsidRDefault="00CF4006" w:rsidP="00CF4006">
      <w:pPr>
        <w:rPr>
          <w:rFonts w:ascii="Times New Roman" w:hAnsi="Times New Roman" w:cs="Times New Roman"/>
          <w:sz w:val="24"/>
          <w:szCs w:val="24"/>
        </w:rPr>
      </w:pPr>
      <w:r w:rsidRPr="00CF4006">
        <w:rPr>
          <w:rFonts w:ascii="Times New Roman" w:hAnsi="Times New Roman" w:cs="Times New Roman"/>
          <w:sz w:val="24"/>
          <w:szCs w:val="24"/>
        </w:rPr>
        <w:t>Y en cualquier caso, constituye el deber del propietario del suelo en situación de urbano consolidado la de</w:t>
      </w:r>
      <w:r>
        <w:rPr>
          <w:rFonts w:ascii="Times New Roman" w:hAnsi="Times New Roman" w:cs="Times New Roman"/>
          <w:sz w:val="24"/>
          <w:szCs w:val="24"/>
        </w:rPr>
        <w:t xml:space="preserve"> </w:t>
      </w:r>
      <w:r w:rsidRPr="00CF4006">
        <w:rPr>
          <w:rFonts w:ascii="Times New Roman" w:hAnsi="Times New Roman" w:cs="Times New Roman"/>
          <w:sz w:val="24"/>
          <w:szCs w:val="24"/>
        </w:rPr>
        <w:t>edificarlo y de completar la urbanización, cediendo o entregando a la administración el terreno exterior a la</w:t>
      </w:r>
      <w:r>
        <w:rPr>
          <w:rFonts w:ascii="Times New Roman" w:hAnsi="Times New Roman" w:cs="Times New Roman"/>
          <w:sz w:val="24"/>
          <w:szCs w:val="24"/>
        </w:rPr>
        <w:t xml:space="preserve"> </w:t>
      </w:r>
      <w:r w:rsidRPr="00CF4006">
        <w:rPr>
          <w:rFonts w:ascii="Times New Roman" w:hAnsi="Times New Roman" w:cs="Times New Roman"/>
          <w:sz w:val="24"/>
          <w:szCs w:val="24"/>
        </w:rPr>
        <w:t>alineación, a pesar de no tener obligación de cesión de aprovechamiento, al corresponderle el 100% de la</w:t>
      </w:r>
      <w:r>
        <w:rPr>
          <w:rFonts w:ascii="Times New Roman" w:hAnsi="Times New Roman" w:cs="Times New Roman"/>
          <w:sz w:val="24"/>
          <w:szCs w:val="24"/>
        </w:rPr>
        <w:t xml:space="preserve"> </w:t>
      </w:r>
      <w:r w:rsidRPr="00CF4006">
        <w:rPr>
          <w:rFonts w:ascii="Times New Roman" w:hAnsi="Times New Roman" w:cs="Times New Roman"/>
          <w:sz w:val="24"/>
          <w:szCs w:val="24"/>
        </w:rPr>
        <w:t>edificabilidad.</w:t>
      </w:r>
    </w:p>
    <w:p w:rsidR="00435F20" w:rsidRDefault="00435F20" w:rsidP="00435F20">
      <w:pPr>
        <w:rPr>
          <w:rFonts w:ascii="Times New Roman" w:hAnsi="Times New Roman" w:cs="Times New Roman"/>
          <w:b/>
          <w:sz w:val="24"/>
          <w:szCs w:val="24"/>
        </w:rPr>
      </w:pPr>
    </w:p>
    <w:p w:rsidR="007540F3" w:rsidRPr="00435F20" w:rsidRDefault="00435F20" w:rsidP="00435F20">
      <w:pPr>
        <w:rPr>
          <w:rFonts w:ascii="Times New Roman" w:hAnsi="Times New Roman" w:cs="Times New Roman"/>
          <w:sz w:val="24"/>
          <w:szCs w:val="24"/>
        </w:rPr>
      </w:pPr>
      <w:r w:rsidRPr="00435F20">
        <w:rPr>
          <w:rFonts w:ascii="Times New Roman" w:hAnsi="Times New Roman" w:cs="Times New Roman"/>
          <w:sz w:val="24"/>
          <w:szCs w:val="24"/>
          <w:u w:val="single"/>
        </w:rPr>
        <w:t>Situación procesal</w:t>
      </w:r>
      <w:r>
        <w:rPr>
          <w:rFonts w:ascii="Times New Roman" w:hAnsi="Times New Roman" w:cs="Times New Roman"/>
          <w:b/>
          <w:sz w:val="24"/>
          <w:szCs w:val="24"/>
        </w:rPr>
        <w:t xml:space="preserve">: </w:t>
      </w:r>
      <w:r w:rsidRPr="00435F20">
        <w:rPr>
          <w:rFonts w:ascii="Times New Roman" w:hAnsi="Times New Roman" w:cs="Times New Roman"/>
          <w:sz w:val="24"/>
          <w:szCs w:val="24"/>
        </w:rPr>
        <w:t>Informe solicitado por el Servicio Jurídico Provincial de Almería en relación con la</w:t>
      </w:r>
      <w:r>
        <w:rPr>
          <w:rFonts w:ascii="Times New Roman" w:hAnsi="Times New Roman" w:cs="Times New Roman"/>
          <w:sz w:val="24"/>
          <w:szCs w:val="24"/>
        </w:rPr>
        <w:t xml:space="preserve"> </w:t>
      </w:r>
      <w:r w:rsidRPr="00435F20">
        <w:rPr>
          <w:rFonts w:ascii="Times New Roman" w:hAnsi="Times New Roman" w:cs="Times New Roman"/>
          <w:sz w:val="24"/>
          <w:szCs w:val="24"/>
        </w:rPr>
        <w:t>concurrencia de causa de imposibilidad legal de ejecutar Sentencia firme núm. 3616 de 16 de</w:t>
      </w:r>
      <w:r>
        <w:rPr>
          <w:rFonts w:ascii="Times New Roman" w:hAnsi="Times New Roman" w:cs="Times New Roman"/>
          <w:sz w:val="24"/>
          <w:szCs w:val="24"/>
        </w:rPr>
        <w:t xml:space="preserve"> </w:t>
      </w:r>
      <w:r w:rsidRPr="00435F20">
        <w:rPr>
          <w:rFonts w:ascii="Times New Roman" w:hAnsi="Times New Roman" w:cs="Times New Roman"/>
          <w:sz w:val="24"/>
          <w:szCs w:val="24"/>
        </w:rPr>
        <w:t>diciembre de 2013, anulatoria de licencia para la construcción de vivienda unifamiliar a</w:t>
      </w:r>
      <w:r>
        <w:rPr>
          <w:rFonts w:ascii="Times New Roman" w:hAnsi="Times New Roman" w:cs="Times New Roman"/>
          <w:sz w:val="24"/>
          <w:szCs w:val="24"/>
        </w:rPr>
        <w:t>is</w:t>
      </w:r>
      <w:r w:rsidRPr="00435F20">
        <w:rPr>
          <w:rFonts w:ascii="Times New Roman" w:hAnsi="Times New Roman" w:cs="Times New Roman"/>
          <w:sz w:val="24"/>
          <w:szCs w:val="24"/>
        </w:rPr>
        <w:t>lada</w:t>
      </w:r>
      <w:r>
        <w:rPr>
          <w:rFonts w:ascii="Times New Roman" w:hAnsi="Times New Roman" w:cs="Times New Roman"/>
          <w:sz w:val="24"/>
          <w:szCs w:val="24"/>
        </w:rPr>
        <w:t xml:space="preserve"> </w:t>
      </w:r>
      <w:r w:rsidRPr="00435F20">
        <w:rPr>
          <w:rFonts w:ascii="Times New Roman" w:hAnsi="Times New Roman" w:cs="Times New Roman"/>
          <w:sz w:val="24"/>
          <w:szCs w:val="24"/>
        </w:rPr>
        <w:t>en suelo no urbanizable, en vista a incidente de inejecución de Sentencia presentado por</w:t>
      </w:r>
      <w:r>
        <w:rPr>
          <w:rFonts w:ascii="Times New Roman" w:hAnsi="Times New Roman" w:cs="Times New Roman"/>
          <w:sz w:val="24"/>
          <w:szCs w:val="24"/>
        </w:rPr>
        <w:t xml:space="preserve"> </w:t>
      </w:r>
      <w:r w:rsidRPr="00435F20">
        <w:rPr>
          <w:rFonts w:ascii="Times New Roman" w:hAnsi="Times New Roman" w:cs="Times New Roman"/>
          <w:sz w:val="24"/>
          <w:szCs w:val="24"/>
        </w:rPr>
        <w:t xml:space="preserve">representación procesal del Ayuntamiento de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sidRPr="00435F20">
        <w:rPr>
          <w:rFonts w:ascii="Times New Roman" w:hAnsi="Times New Roman" w:cs="Times New Roman"/>
          <w:sz w:val="24"/>
          <w:szCs w:val="24"/>
        </w:rPr>
        <w:t xml:space="preserve"> </w:t>
      </w:r>
      <w:proofErr w:type="gramStart"/>
      <w:r w:rsidRPr="00435F20">
        <w:rPr>
          <w:rFonts w:ascii="Times New Roman" w:hAnsi="Times New Roman" w:cs="Times New Roman"/>
          <w:sz w:val="24"/>
          <w:szCs w:val="24"/>
        </w:rPr>
        <w:t>con</w:t>
      </w:r>
      <w:proofErr w:type="gramEnd"/>
      <w:r w:rsidRPr="00435F20">
        <w:rPr>
          <w:rFonts w:ascii="Times New Roman" w:hAnsi="Times New Roman" w:cs="Times New Roman"/>
          <w:sz w:val="24"/>
          <w:szCs w:val="24"/>
        </w:rPr>
        <w:t xml:space="preserve"> base a PGOU en tramitación.</w:t>
      </w:r>
    </w:p>
    <w:p w:rsidR="00435F20" w:rsidRPr="00435F20" w:rsidRDefault="00435F20" w:rsidP="00435F20">
      <w:pPr>
        <w:rPr>
          <w:rFonts w:ascii="Times New Roman" w:hAnsi="Times New Roman" w:cs="Times New Roman"/>
          <w:sz w:val="24"/>
          <w:szCs w:val="24"/>
        </w:rPr>
      </w:pPr>
      <w:r w:rsidRPr="00435F20">
        <w:rPr>
          <w:rFonts w:ascii="Times New Roman" w:hAnsi="Times New Roman" w:cs="Times New Roman"/>
          <w:sz w:val="24"/>
          <w:szCs w:val="24"/>
          <w:u w:val="single"/>
        </w:rPr>
        <w:t>Invocación del Ayuntamiento</w:t>
      </w:r>
      <w:r w:rsidRPr="00435F20">
        <w:rPr>
          <w:rFonts w:ascii="Times New Roman" w:hAnsi="Times New Roman" w:cs="Times New Roman"/>
          <w:sz w:val="24"/>
          <w:szCs w:val="24"/>
        </w:rPr>
        <w:t>: “La vivienda ejecutada (…) se</w:t>
      </w:r>
      <w:r>
        <w:rPr>
          <w:rFonts w:ascii="Times New Roman" w:hAnsi="Times New Roman" w:cs="Times New Roman"/>
          <w:sz w:val="24"/>
          <w:szCs w:val="24"/>
        </w:rPr>
        <w:t xml:space="preserve"> </w:t>
      </w:r>
      <w:r w:rsidRPr="00435F20">
        <w:rPr>
          <w:rFonts w:ascii="Times New Roman" w:hAnsi="Times New Roman" w:cs="Times New Roman"/>
          <w:sz w:val="24"/>
          <w:szCs w:val="24"/>
        </w:rPr>
        <w:t>encontraría en suelo ajustado a derecho con arreglo a la nueva ordenación urbanística configurada por el</w:t>
      </w:r>
      <w:r>
        <w:rPr>
          <w:rFonts w:ascii="Times New Roman" w:hAnsi="Times New Roman" w:cs="Times New Roman"/>
          <w:sz w:val="24"/>
          <w:szCs w:val="24"/>
        </w:rPr>
        <w:t xml:space="preserve"> </w:t>
      </w:r>
      <w:r w:rsidRPr="00435F20">
        <w:rPr>
          <w:rFonts w:ascii="Times New Roman" w:hAnsi="Times New Roman" w:cs="Times New Roman"/>
          <w:sz w:val="24"/>
          <w:szCs w:val="24"/>
        </w:rPr>
        <w:t xml:space="preserve">planeamiento urbanístico del Ayuntamiento </w:t>
      </w:r>
      <w:proofErr w:type="gramStart"/>
      <w:r w:rsidRPr="00435F20">
        <w:rPr>
          <w:rFonts w:ascii="Times New Roman" w:hAnsi="Times New Roman" w:cs="Times New Roman"/>
          <w:sz w:val="24"/>
          <w:szCs w:val="24"/>
        </w:rPr>
        <w:t xml:space="preserve">de </w:t>
      </w:r>
      <w:r>
        <w:rPr>
          <w:rFonts w:ascii="Times New Roman" w:hAnsi="Times New Roman" w:cs="Times New Roman"/>
          <w:sz w:val="24"/>
          <w:szCs w:val="24"/>
        </w:rPr>
        <w:t>…</w:t>
      </w:r>
      <w:proofErr w:type="gramEnd"/>
      <w:r>
        <w:rPr>
          <w:rFonts w:ascii="Times New Roman" w:hAnsi="Times New Roman" w:cs="Times New Roman"/>
          <w:sz w:val="24"/>
          <w:szCs w:val="24"/>
        </w:rPr>
        <w:t>……</w:t>
      </w:r>
      <w:r w:rsidRPr="00435F20">
        <w:rPr>
          <w:rFonts w:ascii="Times New Roman" w:hAnsi="Times New Roman" w:cs="Times New Roman"/>
          <w:sz w:val="24"/>
          <w:szCs w:val="24"/>
        </w:rPr>
        <w:t>, consistente en informe de clasificación del suelo</w:t>
      </w:r>
      <w:r>
        <w:rPr>
          <w:rFonts w:ascii="Times New Roman" w:hAnsi="Times New Roman" w:cs="Times New Roman"/>
          <w:sz w:val="24"/>
          <w:szCs w:val="24"/>
        </w:rPr>
        <w:t xml:space="preserve"> </w:t>
      </w:r>
      <w:r w:rsidRPr="00435F20">
        <w:rPr>
          <w:rFonts w:ascii="Times New Roman" w:hAnsi="Times New Roman" w:cs="Times New Roman"/>
          <w:sz w:val="24"/>
          <w:szCs w:val="24"/>
        </w:rPr>
        <w:t>como urbano no consolidado, emitido por el equipo técnico redactor del PGOU del Ayuntamiento de</w:t>
      </w:r>
      <w:r>
        <w:rPr>
          <w:rFonts w:ascii="Times New Roman" w:hAnsi="Times New Roman" w:cs="Times New Roman"/>
          <w:sz w:val="24"/>
          <w:szCs w:val="24"/>
        </w:rPr>
        <w:t xml:space="preserve"> ….</w:t>
      </w:r>
      <w:r w:rsidRPr="00435F20">
        <w:rPr>
          <w:rFonts w:ascii="Times New Roman" w:hAnsi="Times New Roman" w:cs="Times New Roman"/>
          <w:sz w:val="24"/>
          <w:szCs w:val="24"/>
        </w:rPr>
        <w:t>”. Acompaña, a este respecto, documentación del técnico redactor del PGOU sobre la clasificación</w:t>
      </w:r>
      <w:r>
        <w:rPr>
          <w:rFonts w:ascii="Times New Roman" w:hAnsi="Times New Roman" w:cs="Times New Roman"/>
          <w:sz w:val="24"/>
          <w:szCs w:val="24"/>
        </w:rPr>
        <w:t xml:space="preserve"> </w:t>
      </w:r>
      <w:r w:rsidRPr="00435F20">
        <w:rPr>
          <w:rFonts w:ascii="Times New Roman" w:hAnsi="Times New Roman" w:cs="Times New Roman"/>
          <w:sz w:val="24"/>
          <w:szCs w:val="24"/>
        </w:rPr>
        <w:t>urbanística del paraje Retamar como suelo urbano no consolidado.</w:t>
      </w:r>
    </w:p>
    <w:p w:rsidR="00435F20" w:rsidRDefault="00435F20" w:rsidP="00435F20">
      <w:pPr>
        <w:rPr>
          <w:rFonts w:ascii="Times New Roman" w:hAnsi="Times New Roman" w:cs="Times New Roman"/>
          <w:sz w:val="24"/>
          <w:szCs w:val="24"/>
        </w:rPr>
      </w:pPr>
      <w:r w:rsidRPr="00435F20">
        <w:rPr>
          <w:rFonts w:ascii="Times New Roman" w:hAnsi="Times New Roman" w:cs="Times New Roman"/>
          <w:sz w:val="24"/>
          <w:szCs w:val="24"/>
          <w:u w:val="single"/>
        </w:rPr>
        <w:t>Propuesta de la Inspección en el seno del Incidente</w:t>
      </w:r>
      <w:r w:rsidRPr="00435F20">
        <w:rPr>
          <w:rFonts w:ascii="Times New Roman" w:hAnsi="Times New Roman" w:cs="Times New Roman"/>
          <w:sz w:val="24"/>
          <w:szCs w:val="24"/>
        </w:rPr>
        <w:t>:</w:t>
      </w:r>
    </w:p>
    <w:p w:rsidR="00435F20" w:rsidRPr="00435F20" w:rsidRDefault="00435F20" w:rsidP="00435F20">
      <w:pPr>
        <w:rPr>
          <w:rFonts w:ascii="Times New Roman" w:hAnsi="Times New Roman" w:cs="Times New Roman"/>
          <w:sz w:val="24"/>
          <w:szCs w:val="24"/>
        </w:rPr>
      </w:pPr>
      <w:r w:rsidRPr="00435F20">
        <w:rPr>
          <w:rFonts w:ascii="Times New Roman" w:hAnsi="Times New Roman" w:cs="Times New Roman"/>
          <w:sz w:val="24"/>
          <w:szCs w:val="24"/>
        </w:rPr>
        <w:lastRenderedPageBreak/>
        <w:t xml:space="preserve">En relación al motivo concreto esgrimido por el Ayuntamiento </w:t>
      </w:r>
      <w:proofErr w:type="gramStart"/>
      <w:r w:rsidRPr="00435F20">
        <w:rPr>
          <w:rFonts w:ascii="Times New Roman" w:hAnsi="Times New Roman" w:cs="Times New Roman"/>
          <w:sz w:val="24"/>
          <w:szCs w:val="24"/>
        </w:rPr>
        <w:t xml:space="preserve">de </w:t>
      </w:r>
      <w:r>
        <w:rPr>
          <w:rFonts w:ascii="Times New Roman" w:hAnsi="Times New Roman" w:cs="Times New Roman"/>
          <w:sz w:val="24"/>
          <w:szCs w:val="24"/>
        </w:rPr>
        <w:t>….</w:t>
      </w:r>
      <w:proofErr w:type="gramEnd"/>
      <w:r w:rsidRPr="00435F20">
        <w:rPr>
          <w:rFonts w:ascii="Times New Roman" w:hAnsi="Times New Roman" w:cs="Times New Roman"/>
          <w:sz w:val="24"/>
          <w:szCs w:val="24"/>
        </w:rPr>
        <w:t xml:space="preserve"> </w:t>
      </w:r>
      <w:proofErr w:type="gramStart"/>
      <w:r w:rsidRPr="00435F20">
        <w:rPr>
          <w:rFonts w:ascii="Times New Roman" w:hAnsi="Times New Roman" w:cs="Times New Roman"/>
          <w:sz w:val="24"/>
          <w:szCs w:val="24"/>
        </w:rPr>
        <w:t>en</w:t>
      </w:r>
      <w:proofErr w:type="gramEnd"/>
      <w:r w:rsidRPr="00435F20">
        <w:rPr>
          <w:rFonts w:ascii="Times New Roman" w:hAnsi="Times New Roman" w:cs="Times New Roman"/>
          <w:sz w:val="24"/>
          <w:szCs w:val="24"/>
        </w:rPr>
        <w:t xml:space="preserve"> apoyo del incidente de</w:t>
      </w:r>
      <w:r>
        <w:rPr>
          <w:rFonts w:ascii="Times New Roman" w:hAnsi="Times New Roman" w:cs="Times New Roman"/>
          <w:sz w:val="24"/>
          <w:szCs w:val="24"/>
        </w:rPr>
        <w:t xml:space="preserve"> </w:t>
      </w:r>
      <w:r w:rsidRPr="00435F20">
        <w:rPr>
          <w:rFonts w:ascii="Times New Roman" w:hAnsi="Times New Roman" w:cs="Times New Roman"/>
          <w:sz w:val="24"/>
          <w:szCs w:val="24"/>
        </w:rPr>
        <w:t>inejecución planteado, esto es, la aprobación municipal de un PGOU que incorpora al proceso urbanístico la</w:t>
      </w:r>
      <w:r>
        <w:rPr>
          <w:rFonts w:ascii="Times New Roman" w:hAnsi="Times New Roman" w:cs="Times New Roman"/>
          <w:sz w:val="24"/>
          <w:szCs w:val="24"/>
        </w:rPr>
        <w:t xml:space="preserve"> </w:t>
      </w:r>
      <w:r w:rsidRPr="00435F20">
        <w:rPr>
          <w:rFonts w:ascii="Times New Roman" w:hAnsi="Times New Roman" w:cs="Times New Roman"/>
          <w:sz w:val="24"/>
          <w:szCs w:val="24"/>
        </w:rPr>
        <w:t>actuación declarada ilegal, atribuyendo al Paraje Retamar la clasificación de suelo urbano no consolidado,</w:t>
      </w:r>
      <w:r>
        <w:rPr>
          <w:rFonts w:ascii="Times New Roman" w:hAnsi="Times New Roman" w:cs="Times New Roman"/>
          <w:sz w:val="24"/>
          <w:szCs w:val="24"/>
        </w:rPr>
        <w:t xml:space="preserve"> </w:t>
      </w:r>
      <w:r w:rsidRPr="00435F20">
        <w:rPr>
          <w:rFonts w:ascii="Times New Roman" w:hAnsi="Times New Roman" w:cs="Times New Roman"/>
          <w:sz w:val="24"/>
          <w:szCs w:val="24"/>
        </w:rPr>
        <w:t>resulta fundamental comprobar la vigencia del PGOU al que alude el técnico municipal, pues en la</w:t>
      </w:r>
      <w:r>
        <w:rPr>
          <w:rFonts w:ascii="Times New Roman" w:hAnsi="Times New Roman" w:cs="Times New Roman"/>
          <w:sz w:val="24"/>
          <w:szCs w:val="24"/>
        </w:rPr>
        <w:t xml:space="preserve"> </w:t>
      </w:r>
      <w:r w:rsidRPr="00435F20">
        <w:rPr>
          <w:rFonts w:ascii="Times New Roman" w:hAnsi="Times New Roman" w:cs="Times New Roman"/>
          <w:sz w:val="24"/>
          <w:szCs w:val="24"/>
        </w:rPr>
        <w:t>documentación que se acompaña no consta alusión alguna al estado procedimental de dicho trámite.</w:t>
      </w:r>
    </w:p>
    <w:p w:rsidR="00435F20" w:rsidRDefault="00435F20" w:rsidP="00435F20">
      <w:pPr>
        <w:rPr>
          <w:rFonts w:ascii="Times New Roman" w:hAnsi="Times New Roman" w:cs="Times New Roman"/>
          <w:sz w:val="24"/>
          <w:szCs w:val="24"/>
        </w:rPr>
      </w:pPr>
      <w:r w:rsidRPr="00435F20">
        <w:rPr>
          <w:rFonts w:ascii="Times New Roman" w:hAnsi="Times New Roman" w:cs="Times New Roman"/>
          <w:sz w:val="24"/>
          <w:szCs w:val="24"/>
        </w:rPr>
        <w:t xml:space="preserve">Consultado el planeamiento urbanístico vigente en el municipio </w:t>
      </w:r>
      <w:proofErr w:type="gramStart"/>
      <w:r w:rsidRPr="00435F20">
        <w:rPr>
          <w:rFonts w:ascii="Times New Roman" w:hAnsi="Times New Roman" w:cs="Times New Roman"/>
          <w:sz w:val="24"/>
          <w:szCs w:val="24"/>
        </w:rPr>
        <w:t xml:space="preserve">de </w:t>
      </w:r>
      <w:r w:rsidR="00216B1A">
        <w:rPr>
          <w:rFonts w:ascii="Times New Roman" w:hAnsi="Times New Roman" w:cs="Times New Roman"/>
          <w:sz w:val="24"/>
          <w:szCs w:val="24"/>
        </w:rPr>
        <w:t>…</w:t>
      </w:r>
      <w:proofErr w:type="gramEnd"/>
      <w:r w:rsidR="00216B1A">
        <w:rPr>
          <w:rFonts w:ascii="Times New Roman" w:hAnsi="Times New Roman" w:cs="Times New Roman"/>
          <w:sz w:val="24"/>
          <w:szCs w:val="24"/>
        </w:rPr>
        <w:t>..</w:t>
      </w:r>
      <w:r w:rsidRPr="00435F20">
        <w:rPr>
          <w:rFonts w:ascii="Times New Roman" w:hAnsi="Times New Roman" w:cs="Times New Roman"/>
          <w:sz w:val="24"/>
          <w:szCs w:val="24"/>
        </w:rPr>
        <w:t>, dicha consideración ha de ser</w:t>
      </w:r>
      <w:r w:rsidR="00216B1A">
        <w:rPr>
          <w:rFonts w:ascii="Times New Roman" w:hAnsi="Times New Roman" w:cs="Times New Roman"/>
          <w:sz w:val="24"/>
          <w:szCs w:val="24"/>
        </w:rPr>
        <w:t xml:space="preserve"> </w:t>
      </w:r>
      <w:r w:rsidRPr="00435F20">
        <w:rPr>
          <w:rFonts w:ascii="Times New Roman" w:hAnsi="Times New Roman" w:cs="Times New Roman"/>
          <w:sz w:val="24"/>
          <w:szCs w:val="24"/>
        </w:rPr>
        <w:t>rechazada, pues en la actualidad continúa vigente el Proyecto de Delimitación de Suelo Urbano de</w:t>
      </w:r>
      <w:r w:rsidR="00216B1A">
        <w:rPr>
          <w:rFonts w:ascii="Times New Roman" w:hAnsi="Times New Roman" w:cs="Times New Roman"/>
          <w:sz w:val="24"/>
          <w:szCs w:val="24"/>
        </w:rPr>
        <w:t xml:space="preserve"> </w:t>
      </w:r>
      <w:r w:rsidRPr="00435F20">
        <w:rPr>
          <w:rFonts w:ascii="Times New Roman" w:hAnsi="Times New Roman" w:cs="Times New Roman"/>
          <w:sz w:val="24"/>
          <w:szCs w:val="24"/>
        </w:rPr>
        <w:t>07/03/1979 (B.O.P. 07/04/1979), manteniendo por tanto el suelo sobre el que se otorgó la licencia anulada</w:t>
      </w:r>
      <w:r w:rsidR="00216B1A">
        <w:rPr>
          <w:rFonts w:ascii="Times New Roman" w:hAnsi="Times New Roman" w:cs="Times New Roman"/>
          <w:sz w:val="24"/>
          <w:szCs w:val="24"/>
        </w:rPr>
        <w:t xml:space="preserve"> </w:t>
      </w:r>
      <w:r w:rsidRPr="00435F20">
        <w:rPr>
          <w:rFonts w:ascii="Times New Roman" w:hAnsi="Times New Roman" w:cs="Times New Roman"/>
          <w:sz w:val="24"/>
          <w:szCs w:val="24"/>
        </w:rPr>
        <w:t>su condición de no urbanizable.</w:t>
      </w:r>
    </w:p>
    <w:p w:rsidR="00435F20" w:rsidRPr="00435F20" w:rsidRDefault="00435F20" w:rsidP="00435F20">
      <w:pPr>
        <w:rPr>
          <w:rFonts w:ascii="Times New Roman" w:hAnsi="Times New Roman" w:cs="Times New Roman"/>
          <w:sz w:val="24"/>
          <w:szCs w:val="24"/>
        </w:rPr>
      </w:pPr>
      <w:r>
        <w:rPr>
          <w:rFonts w:ascii="Times New Roman" w:hAnsi="Times New Roman" w:cs="Times New Roman"/>
          <w:sz w:val="24"/>
          <w:szCs w:val="24"/>
        </w:rPr>
        <w:t>S</w:t>
      </w:r>
      <w:r w:rsidRPr="00435F20">
        <w:rPr>
          <w:rFonts w:ascii="Times New Roman" w:hAnsi="Times New Roman" w:cs="Times New Roman"/>
          <w:sz w:val="24"/>
          <w:szCs w:val="24"/>
        </w:rPr>
        <w:t xml:space="preserve">i bien es cierto que el documento </w:t>
      </w:r>
      <w:r w:rsidRPr="00216B1A">
        <w:rPr>
          <w:rFonts w:ascii="Times New Roman" w:hAnsi="Times New Roman" w:cs="Times New Roman"/>
          <w:sz w:val="24"/>
          <w:szCs w:val="24"/>
          <w:u w:val="single"/>
        </w:rPr>
        <w:t>en tramitación</w:t>
      </w:r>
      <w:r w:rsidRPr="00435F20">
        <w:rPr>
          <w:rFonts w:ascii="Times New Roman" w:hAnsi="Times New Roman" w:cs="Times New Roman"/>
          <w:sz w:val="24"/>
          <w:szCs w:val="24"/>
        </w:rPr>
        <w:t xml:space="preserve"> prevé la clasificación del ámbito en el que se</w:t>
      </w:r>
      <w:r>
        <w:rPr>
          <w:rFonts w:ascii="Times New Roman" w:hAnsi="Times New Roman" w:cs="Times New Roman"/>
          <w:sz w:val="24"/>
          <w:szCs w:val="24"/>
        </w:rPr>
        <w:t xml:space="preserve"> </w:t>
      </w:r>
      <w:r w:rsidRPr="00435F20">
        <w:rPr>
          <w:rFonts w:ascii="Times New Roman" w:hAnsi="Times New Roman" w:cs="Times New Roman"/>
          <w:sz w:val="24"/>
          <w:szCs w:val="24"/>
        </w:rPr>
        <w:t>desarrollan las actuaciones como suelo urbano no consolidado, la aprobación definitiva del instrumento de</w:t>
      </w:r>
      <w:r>
        <w:rPr>
          <w:rFonts w:ascii="Times New Roman" w:hAnsi="Times New Roman" w:cs="Times New Roman"/>
          <w:sz w:val="24"/>
          <w:szCs w:val="24"/>
        </w:rPr>
        <w:t xml:space="preserve"> </w:t>
      </w:r>
      <w:r w:rsidRPr="00435F20">
        <w:rPr>
          <w:rFonts w:ascii="Times New Roman" w:hAnsi="Times New Roman" w:cs="Times New Roman"/>
          <w:sz w:val="24"/>
          <w:szCs w:val="24"/>
        </w:rPr>
        <w:t>planeamiento que dé cobertura a la actuación y la vigencia del mismo por su publicación en los boletines</w:t>
      </w:r>
      <w:r>
        <w:rPr>
          <w:rFonts w:ascii="Times New Roman" w:hAnsi="Times New Roman" w:cs="Times New Roman"/>
          <w:sz w:val="24"/>
          <w:szCs w:val="24"/>
        </w:rPr>
        <w:t xml:space="preserve"> </w:t>
      </w:r>
      <w:r w:rsidRPr="00435F20">
        <w:rPr>
          <w:rFonts w:ascii="Times New Roman" w:hAnsi="Times New Roman" w:cs="Times New Roman"/>
          <w:sz w:val="24"/>
          <w:szCs w:val="24"/>
        </w:rPr>
        <w:t>oficiales correspondientes se torna en el primero de los presupuestos exigidos por la jurisprudencia en</w:t>
      </w:r>
      <w:r>
        <w:rPr>
          <w:rFonts w:ascii="Times New Roman" w:hAnsi="Times New Roman" w:cs="Times New Roman"/>
          <w:sz w:val="24"/>
          <w:szCs w:val="24"/>
        </w:rPr>
        <w:t xml:space="preserve"> </w:t>
      </w:r>
      <w:r w:rsidRPr="00435F20">
        <w:rPr>
          <w:rFonts w:ascii="Times New Roman" w:hAnsi="Times New Roman" w:cs="Times New Roman"/>
          <w:sz w:val="24"/>
          <w:szCs w:val="24"/>
        </w:rPr>
        <w:t>relación con la imposibilidad legal de ejecutar la sentencia en sus propios términos.</w:t>
      </w:r>
    </w:p>
    <w:p w:rsidR="00435F20" w:rsidRDefault="00435F20" w:rsidP="00435F20">
      <w:pPr>
        <w:rPr>
          <w:rFonts w:ascii="Times New Roman" w:hAnsi="Times New Roman" w:cs="Times New Roman"/>
          <w:sz w:val="24"/>
          <w:szCs w:val="24"/>
        </w:rPr>
      </w:pPr>
      <w:r w:rsidRPr="00435F20">
        <w:rPr>
          <w:rFonts w:ascii="Times New Roman" w:hAnsi="Times New Roman" w:cs="Times New Roman"/>
          <w:sz w:val="24"/>
          <w:szCs w:val="24"/>
        </w:rPr>
        <w:t xml:space="preserve">Por tanto, </w:t>
      </w:r>
      <w:r>
        <w:rPr>
          <w:rFonts w:ascii="Times New Roman" w:hAnsi="Times New Roman" w:cs="Times New Roman"/>
          <w:sz w:val="24"/>
          <w:szCs w:val="24"/>
        </w:rPr>
        <w:t xml:space="preserve"> </w:t>
      </w:r>
      <w:r w:rsidRPr="00435F20">
        <w:rPr>
          <w:rFonts w:ascii="Times New Roman" w:hAnsi="Times New Roman" w:cs="Times New Roman"/>
          <w:sz w:val="24"/>
          <w:szCs w:val="24"/>
        </w:rPr>
        <w:t>no procede pronunciamiento sobre la concurrencia de causa de imposibilidad legal de ejecutar la</w:t>
      </w:r>
      <w:r>
        <w:rPr>
          <w:rFonts w:ascii="Times New Roman" w:hAnsi="Times New Roman" w:cs="Times New Roman"/>
          <w:sz w:val="24"/>
          <w:szCs w:val="24"/>
        </w:rPr>
        <w:t xml:space="preserve"> </w:t>
      </w:r>
      <w:r w:rsidRPr="00435F20">
        <w:rPr>
          <w:rFonts w:ascii="Times New Roman" w:hAnsi="Times New Roman" w:cs="Times New Roman"/>
          <w:sz w:val="24"/>
          <w:szCs w:val="24"/>
        </w:rPr>
        <w:t>sentencia en sus propios términos en tanto no se acredite el cumplimiento de éste y de los restantes</w:t>
      </w:r>
      <w:r>
        <w:rPr>
          <w:rFonts w:ascii="Times New Roman" w:hAnsi="Times New Roman" w:cs="Times New Roman"/>
          <w:sz w:val="24"/>
          <w:szCs w:val="24"/>
        </w:rPr>
        <w:t xml:space="preserve"> </w:t>
      </w:r>
      <w:r w:rsidRPr="00435F20">
        <w:rPr>
          <w:rFonts w:ascii="Times New Roman" w:hAnsi="Times New Roman" w:cs="Times New Roman"/>
          <w:sz w:val="24"/>
          <w:szCs w:val="24"/>
        </w:rPr>
        <w:t>requisitos ya expuestos en el presente informe.</w:t>
      </w:r>
    </w:p>
    <w:p w:rsidR="00216B1A" w:rsidRDefault="00216B1A" w:rsidP="00435F20">
      <w:pPr>
        <w:rPr>
          <w:rFonts w:ascii="Times New Roman" w:hAnsi="Times New Roman" w:cs="Times New Roman"/>
          <w:sz w:val="24"/>
          <w:szCs w:val="24"/>
        </w:rPr>
      </w:pPr>
    </w:p>
    <w:p w:rsidR="00216B1A" w:rsidRPr="00216B1A" w:rsidRDefault="00216B1A" w:rsidP="00435F20">
      <w:pPr>
        <w:rPr>
          <w:rFonts w:ascii="Times New Roman" w:hAnsi="Times New Roman" w:cs="Times New Roman"/>
          <w:b/>
          <w:sz w:val="24"/>
          <w:szCs w:val="24"/>
        </w:rPr>
      </w:pPr>
      <w:r w:rsidRPr="00216B1A">
        <w:rPr>
          <w:rFonts w:ascii="Times New Roman" w:hAnsi="Times New Roman" w:cs="Times New Roman"/>
          <w:b/>
          <w:sz w:val="24"/>
          <w:szCs w:val="24"/>
        </w:rPr>
        <w:t>PROVINCIA DE MÁLAGA.</w:t>
      </w:r>
    </w:p>
    <w:p w:rsidR="00216B1A" w:rsidRDefault="007540F3" w:rsidP="007540F3">
      <w:pPr>
        <w:rPr>
          <w:rFonts w:ascii="Times New Roman" w:hAnsi="Times New Roman" w:cs="Times New Roman"/>
          <w:b/>
          <w:sz w:val="24"/>
          <w:szCs w:val="24"/>
        </w:rPr>
      </w:pPr>
      <w:r>
        <w:rPr>
          <w:rFonts w:ascii="Times New Roman" w:hAnsi="Times New Roman" w:cs="Times New Roman"/>
          <w:b/>
          <w:sz w:val="24"/>
          <w:szCs w:val="24"/>
        </w:rPr>
        <w:t>Marbella</w:t>
      </w:r>
    </w:p>
    <w:p w:rsidR="00547D89" w:rsidRDefault="00547D89" w:rsidP="007540F3">
      <w:pPr>
        <w:rPr>
          <w:rFonts w:ascii="Times New Roman" w:hAnsi="Times New Roman" w:cs="Times New Roman"/>
          <w:sz w:val="24"/>
          <w:szCs w:val="24"/>
        </w:rPr>
      </w:pPr>
      <w:r w:rsidRPr="00547D89">
        <w:rPr>
          <w:rFonts w:ascii="Times New Roman" w:hAnsi="Times New Roman" w:cs="Times New Roman"/>
          <w:sz w:val="24"/>
          <w:szCs w:val="24"/>
          <w:u w:val="single"/>
        </w:rPr>
        <w:t>Situación Procesal</w:t>
      </w:r>
      <w:r w:rsidRPr="00547D89">
        <w:rPr>
          <w:rFonts w:ascii="Times New Roman" w:hAnsi="Times New Roman" w:cs="Times New Roman"/>
          <w:sz w:val="24"/>
          <w:szCs w:val="24"/>
        </w:rPr>
        <w:t>: Sentencia firme dictada por la Sala de lo Contencioso-Administrativo del Tribunal Superior de Justicia de Andalucía, por la que se anula la licencia urbanística concedida por la Comisión de Gobierno del Ayuntamiento el día 15/05/2002 a “Nuevos Aires 2002, S.L.” para la construcción de 34 viviendas, locales y aparcamientos sobre el actual ámbito de incremento de aprovechamiento AIA-MB-10.</w:t>
      </w:r>
    </w:p>
    <w:p w:rsidR="00547D89" w:rsidRDefault="00547D89" w:rsidP="00547D89">
      <w:pPr>
        <w:rPr>
          <w:rFonts w:ascii="Times New Roman" w:hAnsi="Times New Roman" w:cs="Times New Roman"/>
          <w:sz w:val="24"/>
          <w:szCs w:val="24"/>
        </w:rPr>
      </w:pPr>
      <w:r w:rsidRPr="00547D89">
        <w:rPr>
          <w:rFonts w:ascii="Times New Roman" w:hAnsi="Times New Roman" w:cs="Times New Roman"/>
          <w:sz w:val="24"/>
          <w:szCs w:val="24"/>
          <w:u w:val="single"/>
        </w:rPr>
        <w:t xml:space="preserve">Incidente de Ejecución </w:t>
      </w:r>
      <w:r>
        <w:rPr>
          <w:rFonts w:ascii="Times New Roman" w:hAnsi="Times New Roman" w:cs="Times New Roman"/>
          <w:sz w:val="24"/>
          <w:szCs w:val="24"/>
        </w:rPr>
        <w:t xml:space="preserve">promovido por el Ayuntamiento de Marbella </w:t>
      </w:r>
      <w:r w:rsidRPr="00547D89">
        <w:rPr>
          <w:rFonts w:ascii="Times New Roman" w:hAnsi="Times New Roman" w:cs="Times New Roman"/>
          <w:sz w:val="24"/>
          <w:szCs w:val="24"/>
        </w:rPr>
        <w:t xml:space="preserve">en relación con el recurso contencioso-administrativo nº 1934/03 </w:t>
      </w:r>
      <w:r>
        <w:rPr>
          <w:rFonts w:ascii="Times New Roman" w:hAnsi="Times New Roman" w:cs="Times New Roman"/>
          <w:sz w:val="24"/>
          <w:szCs w:val="24"/>
        </w:rPr>
        <w:t xml:space="preserve">en el que se declara nula, de manera firme, la licencia urbanística concedida por el propio Ayto. </w:t>
      </w:r>
      <w:proofErr w:type="gramStart"/>
      <w:r>
        <w:rPr>
          <w:rFonts w:ascii="Times New Roman" w:hAnsi="Times New Roman" w:cs="Times New Roman"/>
          <w:sz w:val="24"/>
          <w:szCs w:val="24"/>
        </w:rPr>
        <w:t>para</w:t>
      </w:r>
      <w:proofErr w:type="gramEnd"/>
      <w:r>
        <w:rPr>
          <w:rFonts w:ascii="Times New Roman" w:hAnsi="Times New Roman" w:cs="Times New Roman"/>
          <w:sz w:val="24"/>
          <w:szCs w:val="24"/>
        </w:rPr>
        <w:t xml:space="preserve"> </w:t>
      </w:r>
      <w:r w:rsidRPr="00547D89">
        <w:rPr>
          <w:rFonts w:ascii="Times New Roman" w:hAnsi="Times New Roman" w:cs="Times New Roman"/>
          <w:sz w:val="24"/>
          <w:szCs w:val="24"/>
        </w:rPr>
        <w:t>la construcción de 34 viviendas plurifamiliares y aparcamiento entre las calles en C/ Alonso Bazán y c/ Luis Oliver de Marbella.</w:t>
      </w:r>
    </w:p>
    <w:p w:rsidR="00547D89" w:rsidRDefault="00547D89" w:rsidP="00547D89">
      <w:pPr>
        <w:rPr>
          <w:rFonts w:ascii="Times New Roman" w:hAnsi="Times New Roman" w:cs="Times New Roman"/>
          <w:sz w:val="24"/>
          <w:szCs w:val="24"/>
        </w:rPr>
      </w:pPr>
      <w:r w:rsidRPr="00547D89">
        <w:rPr>
          <w:rFonts w:ascii="Times New Roman" w:hAnsi="Times New Roman" w:cs="Times New Roman"/>
          <w:sz w:val="24"/>
          <w:szCs w:val="24"/>
          <w:u w:val="single"/>
        </w:rPr>
        <w:t>Situación urbanística</w:t>
      </w:r>
      <w:r w:rsidRPr="00547D89">
        <w:rPr>
          <w:rFonts w:ascii="Times New Roman" w:hAnsi="Times New Roman" w:cs="Times New Roman"/>
          <w:sz w:val="24"/>
          <w:szCs w:val="24"/>
        </w:rPr>
        <w:t xml:space="preserve">: </w:t>
      </w:r>
      <w:r w:rsidR="00857B1D" w:rsidRPr="00857B1D">
        <w:rPr>
          <w:rFonts w:ascii="Times New Roman" w:hAnsi="Times New Roman" w:cs="Times New Roman"/>
          <w:sz w:val="24"/>
          <w:szCs w:val="24"/>
        </w:rPr>
        <w:t>Edificio de 7 plantas y ático situado en SUNC, A.I.A-MB-10 del PGOU de Marbella.</w:t>
      </w:r>
    </w:p>
    <w:p w:rsidR="00547D89" w:rsidRDefault="00547D89" w:rsidP="00547D89">
      <w:pPr>
        <w:rPr>
          <w:rFonts w:ascii="Times New Roman" w:hAnsi="Times New Roman" w:cs="Times New Roman"/>
          <w:sz w:val="24"/>
          <w:szCs w:val="24"/>
        </w:rPr>
      </w:pPr>
      <w:r>
        <w:rPr>
          <w:rFonts w:ascii="Times New Roman" w:hAnsi="Times New Roman" w:cs="Times New Roman"/>
          <w:sz w:val="24"/>
          <w:szCs w:val="24"/>
        </w:rPr>
        <w:t>A.I.A</w:t>
      </w:r>
      <w:r w:rsidR="00857B1D">
        <w:rPr>
          <w:rFonts w:ascii="Times New Roman" w:hAnsi="Times New Roman" w:cs="Times New Roman"/>
          <w:sz w:val="24"/>
          <w:szCs w:val="24"/>
        </w:rPr>
        <w:t>:</w:t>
      </w:r>
      <w:r>
        <w:rPr>
          <w:rFonts w:ascii="Times New Roman" w:hAnsi="Times New Roman" w:cs="Times New Roman"/>
          <w:sz w:val="24"/>
          <w:szCs w:val="24"/>
        </w:rPr>
        <w:t xml:space="preserve"> significa </w:t>
      </w:r>
      <w:r w:rsidR="00216B1A">
        <w:rPr>
          <w:rFonts w:ascii="Times New Roman" w:hAnsi="Times New Roman" w:cs="Times New Roman"/>
          <w:sz w:val="24"/>
          <w:szCs w:val="24"/>
        </w:rPr>
        <w:t>Área</w:t>
      </w:r>
      <w:r>
        <w:rPr>
          <w:rFonts w:ascii="Times New Roman" w:hAnsi="Times New Roman" w:cs="Times New Roman"/>
          <w:sz w:val="24"/>
          <w:szCs w:val="24"/>
        </w:rPr>
        <w:t xml:space="preserve"> de Incremento de Aprovechamiento en las cuales el Ayto. </w:t>
      </w: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Marbella siguiendo la técnica de las actuaciones de dotación ha previsto la ejecución asistemática de actuaciones de implementación de dotaciones y de equipamientos, en proporción a los excesos de aprovechamientos materializados por edificaciones ilegales.</w:t>
      </w:r>
    </w:p>
    <w:p w:rsidR="00547D89" w:rsidRPr="00547D89" w:rsidRDefault="00547D89" w:rsidP="00547D89">
      <w:pPr>
        <w:rPr>
          <w:rFonts w:ascii="Times New Roman" w:hAnsi="Times New Roman" w:cs="Times New Roman"/>
          <w:sz w:val="24"/>
          <w:szCs w:val="24"/>
        </w:rPr>
      </w:pPr>
      <w:r>
        <w:rPr>
          <w:rFonts w:ascii="Times New Roman" w:hAnsi="Times New Roman" w:cs="Times New Roman"/>
          <w:sz w:val="24"/>
          <w:szCs w:val="24"/>
        </w:rPr>
        <w:lastRenderedPageBreak/>
        <w:t xml:space="preserve">AR: Significan áreas de regularización que se corresponden con vacíos urbanísticos en los cuales se han materializado actuaciones irregulares de ocupación del suelo. </w:t>
      </w:r>
      <w:r w:rsidR="009864F2">
        <w:rPr>
          <w:rFonts w:ascii="Times New Roman" w:hAnsi="Times New Roman" w:cs="Times New Roman"/>
          <w:sz w:val="24"/>
          <w:szCs w:val="24"/>
        </w:rPr>
        <w:t xml:space="preserve"> S</w:t>
      </w:r>
      <w:r w:rsidR="009864F2" w:rsidRPr="009864F2">
        <w:rPr>
          <w:rFonts w:ascii="Times New Roman" w:hAnsi="Times New Roman" w:cs="Times New Roman"/>
          <w:sz w:val="24"/>
          <w:szCs w:val="24"/>
        </w:rPr>
        <w:t>e delimitan para asegurar la ejecución sistemática de los deberes urbanísticos pendientes para conseguir la normalización mediante su conversión en un área urbana con los equipamientos y urbanización adecuados a la edificación existente que resultan asumidas por el Plan</w:t>
      </w:r>
      <w:r w:rsidR="009864F2">
        <w:rPr>
          <w:rFonts w:ascii="Times New Roman" w:hAnsi="Times New Roman" w:cs="Times New Roman"/>
          <w:sz w:val="24"/>
          <w:szCs w:val="24"/>
        </w:rPr>
        <w:t xml:space="preserve">. </w:t>
      </w:r>
      <w:r>
        <w:rPr>
          <w:rFonts w:ascii="Times New Roman" w:hAnsi="Times New Roman" w:cs="Times New Roman"/>
          <w:sz w:val="24"/>
          <w:szCs w:val="24"/>
        </w:rPr>
        <w:t xml:space="preserve">La diferencia con la anterior es que las actuaciones previstas en las áreas de regularización se corresponden con actuaciones sistemáticas previa delimitación de Unidades de Ejecución. </w:t>
      </w:r>
    </w:p>
    <w:p w:rsidR="00197831" w:rsidRDefault="00197831" w:rsidP="00547D89">
      <w:pPr>
        <w:rPr>
          <w:rFonts w:ascii="Times New Roman" w:hAnsi="Times New Roman" w:cs="Times New Roman"/>
          <w:sz w:val="24"/>
          <w:szCs w:val="24"/>
        </w:rPr>
      </w:pPr>
      <w:r>
        <w:rPr>
          <w:rFonts w:ascii="Times New Roman" w:hAnsi="Times New Roman" w:cs="Times New Roman"/>
          <w:sz w:val="24"/>
          <w:szCs w:val="24"/>
        </w:rPr>
        <w:t xml:space="preserve">Contenido de la ficha urbanística: </w:t>
      </w:r>
    </w:p>
    <w:p w:rsidR="00547D89" w:rsidRPr="00050D41" w:rsidRDefault="00547D89" w:rsidP="00547D89">
      <w:pPr>
        <w:rPr>
          <w:rFonts w:ascii="Times New Roman" w:hAnsi="Times New Roman" w:cs="Times New Roman"/>
          <w:sz w:val="24"/>
          <w:szCs w:val="24"/>
          <w:u w:val="single"/>
        </w:rPr>
      </w:pPr>
      <w:r w:rsidRPr="00197831">
        <w:rPr>
          <w:rFonts w:ascii="Times New Roman" w:hAnsi="Times New Roman" w:cs="Times New Roman"/>
          <w:i/>
          <w:sz w:val="24"/>
          <w:szCs w:val="24"/>
        </w:rPr>
        <w:t xml:space="preserve">El Plan posibilita la normalización a través de la definición de un ámbito de ejecución asistemática, siendo el objetivo que el irregular incremento de aprovechamiento, se resuelva con la obtención dotacional en suelos vacantes lo más próximo posible. La gestión de estas áreas de incremento de aprovechamiento y la del suelo público vinculado será a través de la técnica de TAU (art. 10.3.15 </w:t>
      </w:r>
      <w:proofErr w:type="spellStart"/>
      <w:r w:rsidRPr="00197831">
        <w:rPr>
          <w:rFonts w:ascii="Times New Roman" w:hAnsi="Times New Roman" w:cs="Times New Roman"/>
          <w:i/>
          <w:sz w:val="24"/>
          <w:szCs w:val="24"/>
        </w:rPr>
        <w:t>ss</w:t>
      </w:r>
      <w:proofErr w:type="spellEnd"/>
      <w:r w:rsidRPr="00197831">
        <w:rPr>
          <w:rFonts w:ascii="Times New Roman" w:hAnsi="Times New Roman" w:cs="Times New Roman"/>
          <w:i/>
          <w:sz w:val="24"/>
          <w:szCs w:val="24"/>
        </w:rPr>
        <w:t xml:space="preserve"> Normas Urbanísticas). En este ámbito de actuación, se impone su obligación de ceder un equipamiento construido en el interior del edificio de 1380  m2t. </w:t>
      </w:r>
      <w:r w:rsidRPr="00050D41">
        <w:rPr>
          <w:rFonts w:ascii="Times New Roman" w:hAnsi="Times New Roman" w:cs="Times New Roman"/>
          <w:i/>
          <w:sz w:val="24"/>
          <w:szCs w:val="24"/>
          <w:u w:val="single"/>
        </w:rPr>
        <w:t>La edificabilidad total del edificio es de 3.541 m2t, de los cuales, 1.380 m2t se destinan a equipamiento público y el resto mantiene su aprovechamiento lucrativo</w:t>
      </w:r>
      <w:r w:rsidRPr="00050D41">
        <w:rPr>
          <w:rFonts w:ascii="Times New Roman" w:hAnsi="Times New Roman" w:cs="Times New Roman"/>
          <w:sz w:val="24"/>
          <w:szCs w:val="24"/>
          <w:u w:val="single"/>
        </w:rPr>
        <w:t>.</w:t>
      </w:r>
    </w:p>
    <w:p w:rsidR="00547D89" w:rsidRPr="00547D89" w:rsidRDefault="00197831" w:rsidP="00547D89">
      <w:pPr>
        <w:rPr>
          <w:rFonts w:ascii="Times New Roman" w:hAnsi="Times New Roman" w:cs="Times New Roman"/>
          <w:sz w:val="24"/>
          <w:szCs w:val="24"/>
        </w:rPr>
      </w:pPr>
      <w:r w:rsidRPr="00197831">
        <w:rPr>
          <w:rFonts w:ascii="Times New Roman" w:hAnsi="Times New Roman" w:cs="Times New Roman"/>
          <w:i/>
          <w:noProof/>
          <w:sz w:val="24"/>
          <w:szCs w:val="24"/>
          <w:lang w:eastAsia="es-ES"/>
        </w:rPr>
        <w:drawing>
          <wp:anchor distT="0" distB="0" distL="0" distR="0" simplePos="0" relativeHeight="251658240" behindDoc="0" locked="0" layoutInCell="1" allowOverlap="1" wp14:anchorId="1104A822" wp14:editId="7AB2E223">
            <wp:simplePos x="0" y="0"/>
            <wp:positionH relativeFrom="column">
              <wp:posOffset>1064895</wp:posOffset>
            </wp:positionH>
            <wp:positionV relativeFrom="paragraph">
              <wp:posOffset>45085</wp:posOffset>
            </wp:positionV>
            <wp:extent cx="3613785" cy="2466975"/>
            <wp:effectExtent l="0" t="0" r="5715" b="9525"/>
            <wp:wrapSquare wrapText="larges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3785" cy="24669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47D89" w:rsidRPr="00547D89" w:rsidRDefault="00547D89" w:rsidP="00547D89">
      <w:pPr>
        <w:rPr>
          <w:rFonts w:ascii="Times New Roman" w:hAnsi="Times New Roman" w:cs="Times New Roman"/>
          <w:sz w:val="24"/>
          <w:szCs w:val="24"/>
        </w:rPr>
      </w:pPr>
    </w:p>
    <w:p w:rsidR="00547D89" w:rsidRPr="00547D89" w:rsidRDefault="00547D89" w:rsidP="00547D89">
      <w:pPr>
        <w:rPr>
          <w:rFonts w:ascii="Times New Roman" w:hAnsi="Times New Roman" w:cs="Times New Roman"/>
          <w:sz w:val="24"/>
          <w:szCs w:val="24"/>
        </w:rPr>
      </w:pPr>
    </w:p>
    <w:p w:rsidR="00547D89" w:rsidRPr="00547D89" w:rsidRDefault="00547D89" w:rsidP="00547D89">
      <w:pPr>
        <w:rPr>
          <w:rFonts w:ascii="Times New Roman" w:hAnsi="Times New Roman" w:cs="Times New Roman"/>
          <w:sz w:val="24"/>
          <w:szCs w:val="24"/>
        </w:rPr>
      </w:pPr>
    </w:p>
    <w:p w:rsidR="00547D89" w:rsidRPr="00547D89" w:rsidRDefault="00547D89" w:rsidP="00547D89">
      <w:pPr>
        <w:rPr>
          <w:rFonts w:ascii="Times New Roman" w:hAnsi="Times New Roman" w:cs="Times New Roman"/>
          <w:sz w:val="24"/>
          <w:szCs w:val="24"/>
        </w:rPr>
      </w:pPr>
    </w:p>
    <w:p w:rsidR="00547D89" w:rsidRPr="00547D89" w:rsidRDefault="00547D89" w:rsidP="00547D89">
      <w:pPr>
        <w:rPr>
          <w:rFonts w:ascii="Times New Roman" w:hAnsi="Times New Roman" w:cs="Times New Roman"/>
          <w:sz w:val="24"/>
          <w:szCs w:val="24"/>
        </w:rPr>
      </w:pPr>
    </w:p>
    <w:p w:rsidR="00547D89" w:rsidRPr="00547D89" w:rsidRDefault="00547D89" w:rsidP="00547D89">
      <w:pPr>
        <w:rPr>
          <w:rFonts w:ascii="Times New Roman" w:hAnsi="Times New Roman" w:cs="Times New Roman"/>
          <w:sz w:val="24"/>
          <w:szCs w:val="24"/>
        </w:rPr>
      </w:pPr>
    </w:p>
    <w:p w:rsidR="00547D89" w:rsidRPr="00547D89" w:rsidRDefault="00547D89" w:rsidP="00547D89">
      <w:pPr>
        <w:rPr>
          <w:rFonts w:ascii="Times New Roman" w:hAnsi="Times New Roman" w:cs="Times New Roman"/>
          <w:sz w:val="24"/>
          <w:szCs w:val="24"/>
        </w:rPr>
      </w:pPr>
    </w:p>
    <w:p w:rsidR="00197831" w:rsidRDefault="00197831" w:rsidP="00197831">
      <w:pPr>
        <w:rPr>
          <w:rFonts w:ascii="Times New Roman" w:hAnsi="Times New Roman" w:cs="Times New Roman"/>
          <w:sz w:val="24"/>
          <w:szCs w:val="24"/>
        </w:rPr>
      </w:pPr>
      <w:r>
        <w:rPr>
          <w:rFonts w:ascii="Times New Roman" w:hAnsi="Times New Roman" w:cs="Times New Roman"/>
          <w:sz w:val="24"/>
          <w:szCs w:val="24"/>
        </w:rPr>
        <w:t xml:space="preserve">Este </w:t>
      </w:r>
      <w:r w:rsidRPr="00197831">
        <w:rPr>
          <w:rFonts w:ascii="Times New Roman" w:hAnsi="Times New Roman" w:cs="Times New Roman"/>
          <w:sz w:val="24"/>
          <w:szCs w:val="24"/>
        </w:rPr>
        <w:t xml:space="preserve">Incidente de Ejecución </w:t>
      </w:r>
      <w:r>
        <w:rPr>
          <w:rFonts w:ascii="Times New Roman" w:hAnsi="Times New Roman" w:cs="Times New Roman"/>
          <w:sz w:val="24"/>
          <w:szCs w:val="24"/>
        </w:rPr>
        <w:t xml:space="preserve">finaliza mediante </w:t>
      </w:r>
      <w:r w:rsidRPr="00197831">
        <w:rPr>
          <w:rFonts w:ascii="Times New Roman" w:hAnsi="Times New Roman" w:cs="Times New Roman"/>
          <w:sz w:val="24"/>
          <w:szCs w:val="24"/>
          <w:u w:val="single"/>
        </w:rPr>
        <w:t>Auto de fecha 15 de Enero de 2015</w:t>
      </w:r>
      <w:r>
        <w:rPr>
          <w:rFonts w:ascii="Times New Roman" w:hAnsi="Times New Roman" w:cs="Times New Roman"/>
          <w:sz w:val="24"/>
          <w:szCs w:val="24"/>
          <w:u w:val="single"/>
        </w:rPr>
        <w:t xml:space="preserve"> dictado </w:t>
      </w:r>
      <w:r w:rsidRPr="00197831">
        <w:rPr>
          <w:rFonts w:ascii="Times New Roman" w:hAnsi="Times New Roman" w:cs="Times New Roman"/>
          <w:sz w:val="24"/>
          <w:szCs w:val="24"/>
        </w:rPr>
        <w:t xml:space="preserve"> </w:t>
      </w:r>
      <w:r>
        <w:rPr>
          <w:rFonts w:ascii="Times New Roman" w:hAnsi="Times New Roman" w:cs="Times New Roman"/>
          <w:sz w:val="24"/>
          <w:szCs w:val="24"/>
        </w:rPr>
        <w:t xml:space="preserve">por la </w:t>
      </w:r>
      <w:r w:rsidRPr="00197831">
        <w:rPr>
          <w:rFonts w:ascii="Times New Roman" w:hAnsi="Times New Roman" w:cs="Times New Roman"/>
          <w:sz w:val="24"/>
          <w:szCs w:val="24"/>
        </w:rPr>
        <w:t xml:space="preserve">Sala de lo CA del TSJ de Andalucía, </w:t>
      </w:r>
      <w:r>
        <w:rPr>
          <w:rFonts w:ascii="Times New Roman" w:hAnsi="Times New Roman" w:cs="Times New Roman"/>
          <w:sz w:val="24"/>
          <w:szCs w:val="24"/>
        </w:rPr>
        <w:t xml:space="preserve">el cual </w:t>
      </w:r>
      <w:r w:rsidRPr="00197831">
        <w:rPr>
          <w:rFonts w:ascii="Times New Roman" w:hAnsi="Times New Roman" w:cs="Times New Roman"/>
          <w:sz w:val="24"/>
          <w:szCs w:val="24"/>
        </w:rPr>
        <w:t xml:space="preserve">en su F.J Cuarto, entiende cumplida </w:t>
      </w:r>
      <w:r>
        <w:rPr>
          <w:rFonts w:ascii="Times New Roman" w:hAnsi="Times New Roman" w:cs="Times New Roman"/>
          <w:sz w:val="24"/>
          <w:szCs w:val="24"/>
        </w:rPr>
        <w:t xml:space="preserve">por equivalencia la </w:t>
      </w:r>
      <w:r w:rsidRPr="00197831">
        <w:rPr>
          <w:rFonts w:ascii="Times New Roman" w:hAnsi="Times New Roman" w:cs="Times New Roman"/>
          <w:sz w:val="24"/>
          <w:szCs w:val="24"/>
        </w:rPr>
        <w:t xml:space="preserve">sentencia </w:t>
      </w:r>
      <w:r>
        <w:rPr>
          <w:rFonts w:ascii="Times New Roman" w:hAnsi="Times New Roman" w:cs="Times New Roman"/>
          <w:sz w:val="24"/>
          <w:szCs w:val="24"/>
        </w:rPr>
        <w:t xml:space="preserve"> </w:t>
      </w:r>
      <w:r w:rsidRPr="00197831">
        <w:rPr>
          <w:rFonts w:ascii="Times New Roman" w:hAnsi="Times New Roman" w:cs="Times New Roman"/>
          <w:sz w:val="24"/>
          <w:szCs w:val="24"/>
        </w:rPr>
        <w:t xml:space="preserve">anulatoria </w:t>
      </w:r>
      <w:r>
        <w:rPr>
          <w:rFonts w:ascii="Times New Roman" w:hAnsi="Times New Roman" w:cs="Times New Roman"/>
          <w:sz w:val="24"/>
          <w:szCs w:val="24"/>
        </w:rPr>
        <w:t xml:space="preserve">que había sido dictada y considera por </w:t>
      </w:r>
      <w:r w:rsidRPr="00197831">
        <w:rPr>
          <w:rFonts w:ascii="Times New Roman" w:hAnsi="Times New Roman" w:cs="Times New Roman"/>
          <w:sz w:val="24"/>
          <w:szCs w:val="24"/>
        </w:rPr>
        <w:t>ello, inejecutable la sentencia en su consecuencia inmediata inicial, que es la demolición</w:t>
      </w:r>
      <w:r>
        <w:rPr>
          <w:rFonts w:ascii="Times New Roman" w:hAnsi="Times New Roman" w:cs="Times New Roman"/>
          <w:sz w:val="24"/>
          <w:szCs w:val="24"/>
        </w:rPr>
        <w:t>,</w:t>
      </w:r>
      <w:r w:rsidRPr="00197831">
        <w:rPr>
          <w:rFonts w:ascii="Times New Roman" w:hAnsi="Times New Roman" w:cs="Times New Roman"/>
          <w:sz w:val="24"/>
          <w:szCs w:val="24"/>
        </w:rPr>
        <w:t xml:space="preserve"> por </w:t>
      </w:r>
      <w:r>
        <w:rPr>
          <w:rFonts w:ascii="Times New Roman" w:hAnsi="Times New Roman" w:cs="Times New Roman"/>
          <w:sz w:val="24"/>
          <w:szCs w:val="24"/>
        </w:rPr>
        <w:t xml:space="preserve">considerar que se han cumplido las </w:t>
      </w:r>
      <w:r w:rsidRPr="00197831">
        <w:rPr>
          <w:rFonts w:ascii="Times New Roman" w:hAnsi="Times New Roman" w:cs="Times New Roman"/>
          <w:sz w:val="24"/>
          <w:szCs w:val="24"/>
        </w:rPr>
        <w:t>cargas urbanísticas que en la correspondiente ficha urbanística se contienen en el Planeamiento en vigor en la localidad.</w:t>
      </w:r>
    </w:p>
    <w:p w:rsidR="002610D1" w:rsidRPr="00050D41" w:rsidRDefault="002610D1" w:rsidP="002610D1">
      <w:pPr>
        <w:rPr>
          <w:rFonts w:ascii="Times New Roman" w:hAnsi="Times New Roman" w:cs="Times New Roman"/>
          <w:sz w:val="24"/>
          <w:szCs w:val="24"/>
          <w:u w:val="single"/>
        </w:rPr>
      </w:pPr>
      <w:r w:rsidRPr="002610D1">
        <w:rPr>
          <w:rFonts w:ascii="Times New Roman" w:hAnsi="Times New Roman" w:cs="Times New Roman"/>
          <w:sz w:val="24"/>
          <w:szCs w:val="24"/>
        </w:rPr>
        <w:t xml:space="preserve">Merecen la atención algunas </w:t>
      </w:r>
      <w:r w:rsidRPr="00050D41">
        <w:rPr>
          <w:rFonts w:ascii="Times New Roman" w:hAnsi="Times New Roman" w:cs="Times New Roman"/>
          <w:sz w:val="24"/>
          <w:szCs w:val="24"/>
          <w:u w:val="single"/>
        </w:rPr>
        <w:t>manifestaciones contenidas en el Auto.</w:t>
      </w:r>
    </w:p>
    <w:p w:rsidR="002610D1" w:rsidRPr="002610D1" w:rsidRDefault="007A4518" w:rsidP="002610D1">
      <w:pPr>
        <w:rPr>
          <w:rFonts w:ascii="Times New Roman" w:hAnsi="Times New Roman" w:cs="Times New Roman"/>
          <w:sz w:val="24"/>
          <w:szCs w:val="24"/>
        </w:rPr>
      </w:pPr>
      <w:r w:rsidRPr="00050D41">
        <w:rPr>
          <w:rFonts w:ascii="Times New Roman" w:hAnsi="Times New Roman" w:cs="Times New Roman"/>
          <w:b/>
          <w:sz w:val="24"/>
          <w:szCs w:val="24"/>
        </w:rPr>
        <w:t>Primera</w:t>
      </w:r>
      <w:r>
        <w:rPr>
          <w:rFonts w:ascii="Times New Roman" w:hAnsi="Times New Roman" w:cs="Times New Roman"/>
          <w:sz w:val="24"/>
          <w:szCs w:val="24"/>
        </w:rPr>
        <w:tab/>
      </w:r>
      <w:r w:rsidR="002610D1" w:rsidRPr="002610D1">
        <w:rPr>
          <w:rFonts w:ascii="Times New Roman" w:hAnsi="Times New Roman" w:cs="Times New Roman"/>
          <w:sz w:val="24"/>
          <w:szCs w:val="24"/>
        </w:rPr>
        <w:t xml:space="preserve">- </w:t>
      </w:r>
      <w:r w:rsidR="002610D1" w:rsidRPr="007A4518">
        <w:rPr>
          <w:rFonts w:ascii="Times New Roman" w:hAnsi="Times New Roman" w:cs="Times New Roman"/>
          <w:sz w:val="24"/>
          <w:szCs w:val="24"/>
          <w:u w:val="single"/>
        </w:rPr>
        <w:t>Se parte de la regla o principio general</w:t>
      </w:r>
      <w:r w:rsidR="002610D1" w:rsidRPr="002610D1">
        <w:rPr>
          <w:rFonts w:ascii="Times New Roman" w:hAnsi="Times New Roman" w:cs="Times New Roman"/>
          <w:sz w:val="24"/>
          <w:szCs w:val="24"/>
        </w:rPr>
        <w:t xml:space="preserve"> que comporta la anulación de una licencia urbanística, y esta no es otra que la demolición de lo construido a su amparo, pues se trata de una consecuencia implícita al pronunciamiento de nulidad. Y dicha consecuencia "...aunque la Sentencia no se haya pronunciado sobre la demolición, porque es una consecuencia necesaria de la inadecuación de lo autorizado respecto de la legalidad urbanística" cita literalmente el Auto.</w:t>
      </w:r>
    </w:p>
    <w:p w:rsidR="002610D1" w:rsidRPr="002610D1" w:rsidRDefault="007A4518" w:rsidP="002610D1">
      <w:pPr>
        <w:rPr>
          <w:rFonts w:ascii="Times New Roman" w:hAnsi="Times New Roman" w:cs="Times New Roman"/>
          <w:sz w:val="24"/>
          <w:szCs w:val="24"/>
        </w:rPr>
      </w:pPr>
      <w:r w:rsidRPr="00050D41">
        <w:rPr>
          <w:rFonts w:ascii="Times New Roman" w:hAnsi="Times New Roman" w:cs="Times New Roman"/>
          <w:b/>
          <w:sz w:val="24"/>
          <w:szCs w:val="24"/>
        </w:rPr>
        <w:lastRenderedPageBreak/>
        <w:t>Segunda</w:t>
      </w:r>
      <w:r>
        <w:rPr>
          <w:rFonts w:ascii="Times New Roman" w:hAnsi="Times New Roman" w:cs="Times New Roman"/>
          <w:sz w:val="24"/>
          <w:szCs w:val="24"/>
        </w:rPr>
        <w:tab/>
      </w:r>
      <w:r w:rsidR="002610D1" w:rsidRPr="002610D1">
        <w:rPr>
          <w:rFonts w:ascii="Times New Roman" w:hAnsi="Times New Roman" w:cs="Times New Roman"/>
          <w:sz w:val="24"/>
          <w:szCs w:val="24"/>
        </w:rPr>
        <w:t xml:space="preserve">-  </w:t>
      </w:r>
      <w:r w:rsidR="002610D1" w:rsidRPr="007A4518">
        <w:rPr>
          <w:rFonts w:ascii="Times New Roman" w:hAnsi="Times New Roman" w:cs="Times New Roman"/>
          <w:sz w:val="24"/>
          <w:szCs w:val="24"/>
          <w:u w:val="single"/>
        </w:rPr>
        <w:t>Se matiza la consecuencia anterior en el caso en que tras el dictado de la sentencia se apruebe de manera definitiva una modificación de planeamiento</w:t>
      </w:r>
      <w:r w:rsidR="002610D1" w:rsidRPr="002610D1">
        <w:rPr>
          <w:rFonts w:ascii="Times New Roman" w:hAnsi="Times New Roman" w:cs="Times New Roman"/>
          <w:sz w:val="24"/>
          <w:szCs w:val="24"/>
        </w:rPr>
        <w:t xml:space="preserve">. </w:t>
      </w:r>
      <w:r w:rsidR="002610D1" w:rsidRPr="00216B1A">
        <w:rPr>
          <w:rFonts w:ascii="Times New Roman" w:hAnsi="Times New Roman" w:cs="Times New Roman"/>
          <w:sz w:val="24"/>
          <w:szCs w:val="24"/>
          <w:u w:val="single"/>
        </w:rPr>
        <w:t>"La importancia de una modificación posterior del planeamiento  viene dada por la propia posición esencial del Plan como configurador del derecho de la propiedad inmobiliaria común</w:t>
      </w:r>
      <w:r w:rsidR="002610D1" w:rsidRPr="002610D1">
        <w:rPr>
          <w:rFonts w:ascii="Times New Roman" w:hAnsi="Times New Roman" w:cs="Times New Roman"/>
          <w:sz w:val="24"/>
          <w:szCs w:val="24"/>
        </w:rPr>
        <w:t>, un derecho estatutario donde el contenido del mismo no lo impone el titular sino el ordenamiento jurídico que es manifestación del sentir de la comunidad".</w:t>
      </w:r>
    </w:p>
    <w:p w:rsidR="002610D1" w:rsidRPr="002610D1" w:rsidRDefault="007A4518" w:rsidP="002610D1">
      <w:pPr>
        <w:rPr>
          <w:rFonts w:ascii="Times New Roman" w:hAnsi="Times New Roman" w:cs="Times New Roman"/>
          <w:sz w:val="24"/>
          <w:szCs w:val="24"/>
        </w:rPr>
      </w:pPr>
      <w:r w:rsidRPr="00050D41">
        <w:rPr>
          <w:rFonts w:ascii="Times New Roman" w:hAnsi="Times New Roman" w:cs="Times New Roman"/>
          <w:b/>
          <w:sz w:val="24"/>
          <w:szCs w:val="24"/>
        </w:rPr>
        <w:t>Tercera.-</w:t>
      </w:r>
      <w:r>
        <w:rPr>
          <w:rFonts w:ascii="Times New Roman" w:hAnsi="Times New Roman" w:cs="Times New Roman"/>
          <w:sz w:val="24"/>
          <w:szCs w:val="24"/>
        </w:rPr>
        <w:t xml:space="preserve"> </w:t>
      </w:r>
      <w:r>
        <w:rPr>
          <w:rFonts w:ascii="Times New Roman" w:hAnsi="Times New Roman" w:cs="Times New Roman"/>
          <w:sz w:val="24"/>
          <w:szCs w:val="24"/>
        </w:rPr>
        <w:tab/>
      </w:r>
      <w:r w:rsidR="002610D1" w:rsidRPr="002610D1">
        <w:rPr>
          <w:rFonts w:ascii="Times New Roman" w:hAnsi="Times New Roman" w:cs="Times New Roman"/>
          <w:sz w:val="24"/>
          <w:szCs w:val="24"/>
        </w:rPr>
        <w:t>El contenido de la Resolución Jurisdiccional sobre la concurrencia de una causa de imposibilidad de ejecución de la sentencia deberá abarcar tres aspectos diferentes:</w:t>
      </w:r>
    </w:p>
    <w:p w:rsidR="002610D1" w:rsidRPr="002610D1" w:rsidRDefault="002610D1" w:rsidP="007A4518">
      <w:pPr>
        <w:ind w:left="708"/>
        <w:rPr>
          <w:rFonts w:ascii="Times New Roman" w:hAnsi="Times New Roman" w:cs="Times New Roman"/>
          <w:sz w:val="24"/>
          <w:szCs w:val="24"/>
        </w:rPr>
      </w:pPr>
      <w:r w:rsidRPr="002610D1">
        <w:rPr>
          <w:rFonts w:ascii="Times New Roman" w:hAnsi="Times New Roman" w:cs="Times New Roman"/>
          <w:sz w:val="24"/>
          <w:szCs w:val="24"/>
        </w:rPr>
        <w:t>•</w:t>
      </w:r>
      <w:r w:rsidRPr="002610D1">
        <w:rPr>
          <w:rFonts w:ascii="Times New Roman" w:hAnsi="Times New Roman" w:cs="Times New Roman"/>
          <w:sz w:val="24"/>
          <w:szCs w:val="24"/>
        </w:rPr>
        <w:tab/>
      </w:r>
      <w:r w:rsidRPr="00216B1A">
        <w:rPr>
          <w:rFonts w:ascii="Times New Roman" w:hAnsi="Times New Roman" w:cs="Times New Roman"/>
          <w:sz w:val="24"/>
          <w:szCs w:val="24"/>
          <w:u w:val="single"/>
        </w:rPr>
        <w:t>La concurrencia o no de la causa material o legal de imposibilidad</w:t>
      </w:r>
      <w:r w:rsidRPr="002610D1">
        <w:rPr>
          <w:rFonts w:ascii="Times New Roman" w:hAnsi="Times New Roman" w:cs="Times New Roman"/>
          <w:sz w:val="24"/>
          <w:szCs w:val="24"/>
        </w:rPr>
        <w:t xml:space="preserve"> de ejecución de la sentencia, teniendo en cuenta que las excepciones a su íntegra o natural </w:t>
      </w:r>
      <w:proofErr w:type="spellStart"/>
      <w:r w:rsidRPr="002610D1">
        <w:rPr>
          <w:rFonts w:ascii="Times New Roman" w:hAnsi="Times New Roman" w:cs="Times New Roman"/>
          <w:sz w:val="24"/>
          <w:szCs w:val="24"/>
        </w:rPr>
        <w:t>ejecutabilidad</w:t>
      </w:r>
      <w:proofErr w:type="spellEnd"/>
      <w:r w:rsidRPr="002610D1">
        <w:rPr>
          <w:rFonts w:ascii="Times New Roman" w:hAnsi="Times New Roman" w:cs="Times New Roman"/>
          <w:sz w:val="24"/>
          <w:szCs w:val="24"/>
        </w:rPr>
        <w:t xml:space="preserve"> han de ser siempre interpretadas y aplicadas con los máximos criterios restrictivos en el reconocimiento de esa imposibilidad.</w:t>
      </w:r>
    </w:p>
    <w:p w:rsidR="002610D1" w:rsidRPr="002610D1" w:rsidRDefault="002610D1" w:rsidP="007A4518">
      <w:pPr>
        <w:ind w:left="708"/>
        <w:rPr>
          <w:rFonts w:ascii="Times New Roman" w:hAnsi="Times New Roman" w:cs="Times New Roman"/>
          <w:sz w:val="24"/>
          <w:szCs w:val="24"/>
        </w:rPr>
      </w:pPr>
      <w:r w:rsidRPr="002610D1">
        <w:rPr>
          <w:rFonts w:ascii="Times New Roman" w:hAnsi="Times New Roman" w:cs="Times New Roman"/>
          <w:sz w:val="24"/>
          <w:szCs w:val="24"/>
        </w:rPr>
        <w:t>•</w:t>
      </w:r>
      <w:r w:rsidRPr="002610D1">
        <w:rPr>
          <w:rFonts w:ascii="Times New Roman" w:hAnsi="Times New Roman" w:cs="Times New Roman"/>
          <w:sz w:val="24"/>
          <w:szCs w:val="24"/>
        </w:rPr>
        <w:tab/>
        <w:t xml:space="preserve">El Juez o Tribunal, si apreciare la concurrencia de esa causa deberá pronunciarse sobre la posibilidad de adoptar las medidas necesarias que aseguren la mayor efectividad de la ejecución. </w:t>
      </w:r>
      <w:r w:rsidRPr="007A4518">
        <w:rPr>
          <w:rFonts w:ascii="Times New Roman" w:hAnsi="Times New Roman" w:cs="Times New Roman"/>
          <w:sz w:val="24"/>
          <w:szCs w:val="24"/>
          <w:u w:val="single"/>
        </w:rPr>
        <w:t>Mantiene el propio Auto que se trata de una habilitación legal "escasamente explorada".</w:t>
      </w:r>
      <w:r w:rsidRPr="002610D1">
        <w:rPr>
          <w:rFonts w:ascii="Times New Roman" w:hAnsi="Times New Roman" w:cs="Times New Roman"/>
          <w:sz w:val="24"/>
          <w:szCs w:val="24"/>
        </w:rPr>
        <w:t xml:space="preserve"> Por otra parte, la colaboración material o económica de los causantes o responsables de la infracción o de los beneficiados por la misma, </w:t>
      </w:r>
      <w:r w:rsidRPr="00050D41">
        <w:rPr>
          <w:rFonts w:ascii="Times New Roman" w:hAnsi="Times New Roman" w:cs="Times New Roman"/>
          <w:sz w:val="24"/>
          <w:szCs w:val="24"/>
          <w:u w:val="single"/>
        </w:rPr>
        <w:t>podría resultar un adecuado mecanismo que socialmente paliare o rehabilitare la situación de hecho producida en el marco del esencial principio de equidistribución de beneficios y cargas</w:t>
      </w:r>
      <w:r w:rsidRPr="002610D1">
        <w:rPr>
          <w:rFonts w:ascii="Times New Roman" w:hAnsi="Times New Roman" w:cs="Times New Roman"/>
          <w:sz w:val="24"/>
          <w:szCs w:val="24"/>
        </w:rPr>
        <w:t>, como en el del ámbito de la adecuada gestión urbanística materializada en el marco de algún convenio de esta índole.</w:t>
      </w:r>
    </w:p>
    <w:p w:rsidR="002610D1" w:rsidRPr="002610D1" w:rsidRDefault="002610D1" w:rsidP="007A4518">
      <w:pPr>
        <w:ind w:left="708"/>
        <w:rPr>
          <w:rFonts w:ascii="Times New Roman" w:hAnsi="Times New Roman" w:cs="Times New Roman"/>
          <w:sz w:val="24"/>
          <w:szCs w:val="24"/>
        </w:rPr>
      </w:pPr>
      <w:r w:rsidRPr="002610D1">
        <w:rPr>
          <w:rFonts w:ascii="Times New Roman" w:hAnsi="Times New Roman" w:cs="Times New Roman"/>
          <w:sz w:val="24"/>
          <w:szCs w:val="24"/>
        </w:rPr>
        <w:t>•</w:t>
      </w:r>
      <w:r w:rsidRPr="002610D1">
        <w:rPr>
          <w:rFonts w:ascii="Times New Roman" w:hAnsi="Times New Roman" w:cs="Times New Roman"/>
          <w:sz w:val="24"/>
          <w:szCs w:val="24"/>
        </w:rPr>
        <w:tab/>
        <w:t>En tercer lugar, habrá de proceder incluso a la fijación, en su caso, de la indemnización que proceda por la parte que no pueda ser objeto de cumplimiento pleno la sentencia dictada. Dicha indemnización, que la LOPJ en su art.18.2 establecía "en todo caso", sin embargo, el actual art. 105.2 de la LJCA señala su procedencia solo "en su caso".</w:t>
      </w:r>
    </w:p>
    <w:p w:rsidR="002610D1" w:rsidRPr="00197831" w:rsidRDefault="007A4518" w:rsidP="00197831">
      <w:pPr>
        <w:rPr>
          <w:rFonts w:ascii="Times New Roman" w:hAnsi="Times New Roman" w:cs="Times New Roman"/>
          <w:sz w:val="24"/>
          <w:szCs w:val="24"/>
        </w:rPr>
      </w:pPr>
      <w:r w:rsidRPr="007A4518">
        <w:rPr>
          <w:rFonts w:ascii="Times New Roman" w:hAnsi="Times New Roman" w:cs="Times New Roman"/>
          <w:sz w:val="24"/>
          <w:szCs w:val="24"/>
        </w:rPr>
        <w:t>Argumentadas tras las tres premisas anteriores, se concluye finalmente en el F.J. Cuarto que;</w:t>
      </w:r>
    </w:p>
    <w:p w:rsidR="00197831" w:rsidRPr="00197831" w:rsidRDefault="00197831" w:rsidP="00197831">
      <w:pPr>
        <w:rPr>
          <w:rFonts w:ascii="Times New Roman" w:hAnsi="Times New Roman" w:cs="Times New Roman"/>
          <w:i/>
          <w:sz w:val="24"/>
          <w:szCs w:val="24"/>
        </w:rPr>
      </w:pPr>
      <w:r w:rsidRPr="00197831">
        <w:rPr>
          <w:rFonts w:ascii="Times New Roman" w:hAnsi="Times New Roman" w:cs="Times New Roman"/>
          <w:i/>
          <w:sz w:val="24"/>
          <w:szCs w:val="24"/>
        </w:rPr>
        <w:t xml:space="preserve">FJ. 4.- "El nuevo planeamiento posibilita la legalización de la construcción ejecutada al amparo de la licencia declarada ilegal, incluyendo los terrenos en el "AIA-MB-10, Correos" y habiéndose imputado lo satisfecho por la entidad Nuevos Aires 2002, S.L. por el convenio urbanístico suscrito en fecha 23 de Mayo de 2001 al </w:t>
      </w:r>
      <w:r w:rsidRPr="00197831">
        <w:rPr>
          <w:rFonts w:ascii="Times New Roman" w:hAnsi="Times New Roman" w:cs="Times New Roman"/>
          <w:i/>
          <w:sz w:val="24"/>
          <w:szCs w:val="24"/>
          <w:u w:val="single"/>
        </w:rPr>
        <w:t>pago de la compensación económica sustitutiva</w:t>
      </w:r>
      <w:r w:rsidRPr="00197831">
        <w:rPr>
          <w:rFonts w:ascii="Times New Roman" w:hAnsi="Times New Roman" w:cs="Times New Roman"/>
          <w:i/>
          <w:sz w:val="24"/>
          <w:szCs w:val="24"/>
        </w:rPr>
        <w:t xml:space="preserve"> del deber de cesión a la Administración de parcelas edificables en concepto de recuperación de plusvalías </w:t>
      </w:r>
      <w:r w:rsidRPr="00197831">
        <w:rPr>
          <w:rFonts w:ascii="Times New Roman" w:hAnsi="Times New Roman" w:cs="Times New Roman"/>
          <w:i/>
          <w:sz w:val="24"/>
          <w:szCs w:val="24"/>
          <w:u w:val="single"/>
        </w:rPr>
        <w:t>y habiéndose dado cumplimiento a las obligaciones urbanísticas  vinculadas al ámbito de incremento de aprovechamiento</w:t>
      </w:r>
      <w:r w:rsidRPr="00197831">
        <w:rPr>
          <w:rFonts w:ascii="Times New Roman" w:hAnsi="Times New Roman" w:cs="Times New Roman"/>
          <w:i/>
          <w:sz w:val="24"/>
          <w:szCs w:val="24"/>
        </w:rPr>
        <w:t xml:space="preserve">, fue declarada, conforme a lo previsto en el art. 10.3.18.5.2º de las NN.SS la </w:t>
      </w:r>
      <w:r w:rsidRPr="00197831">
        <w:rPr>
          <w:rFonts w:ascii="Times New Roman" w:hAnsi="Times New Roman" w:cs="Times New Roman"/>
          <w:i/>
          <w:sz w:val="24"/>
          <w:szCs w:val="24"/>
          <w:u w:val="single"/>
        </w:rPr>
        <w:t>compatibilidad con el PGOU vigente</w:t>
      </w:r>
      <w:r w:rsidRPr="00197831">
        <w:rPr>
          <w:rFonts w:ascii="Times New Roman" w:hAnsi="Times New Roman" w:cs="Times New Roman"/>
          <w:i/>
          <w:sz w:val="24"/>
          <w:szCs w:val="24"/>
        </w:rPr>
        <w:t xml:space="preserve"> de la edificación realizada en dicho ámbito". No se fija indemnización adicional alguna.  </w:t>
      </w:r>
    </w:p>
    <w:p w:rsidR="00197831" w:rsidRPr="00197831" w:rsidRDefault="00197831" w:rsidP="00197831">
      <w:pPr>
        <w:rPr>
          <w:rFonts w:ascii="Times New Roman" w:hAnsi="Times New Roman" w:cs="Times New Roman"/>
          <w:sz w:val="24"/>
          <w:szCs w:val="24"/>
        </w:rPr>
      </w:pPr>
      <w:r w:rsidRPr="00197831">
        <w:rPr>
          <w:rFonts w:ascii="Times New Roman" w:hAnsi="Times New Roman" w:cs="Times New Roman"/>
          <w:i/>
          <w:sz w:val="24"/>
          <w:szCs w:val="24"/>
          <w:u w:val="single"/>
        </w:rPr>
        <w:t>En su virtud, la Sala acuerda inejecutable la sentencia "in natura", por el cumplimiento de las cargas urbanísticas anteriormente citadas así como la improcedencia de fijar por ello indemnización a favor de la Administración actora</w:t>
      </w:r>
      <w:r w:rsidRPr="00197831">
        <w:rPr>
          <w:rFonts w:ascii="Times New Roman" w:hAnsi="Times New Roman" w:cs="Times New Roman"/>
          <w:sz w:val="24"/>
          <w:szCs w:val="24"/>
        </w:rPr>
        <w:t>.”</w:t>
      </w:r>
    </w:p>
    <w:p w:rsidR="00197831" w:rsidRDefault="00197831" w:rsidP="00197831">
      <w:pPr>
        <w:rPr>
          <w:rFonts w:ascii="Times New Roman" w:hAnsi="Times New Roman" w:cs="Times New Roman"/>
          <w:sz w:val="24"/>
          <w:szCs w:val="24"/>
        </w:rPr>
      </w:pPr>
    </w:p>
    <w:p w:rsidR="00547D89" w:rsidRPr="00547D89" w:rsidRDefault="00197831" w:rsidP="00197831">
      <w:pPr>
        <w:rPr>
          <w:rFonts w:ascii="Times New Roman" w:hAnsi="Times New Roman" w:cs="Times New Roman"/>
          <w:sz w:val="24"/>
          <w:szCs w:val="24"/>
        </w:rPr>
      </w:pPr>
      <w:r w:rsidRPr="00197831">
        <w:rPr>
          <w:rFonts w:ascii="Times New Roman" w:hAnsi="Times New Roman" w:cs="Times New Roman"/>
          <w:sz w:val="24"/>
          <w:szCs w:val="24"/>
        </w:rPr>
        <w:t xml:space="preserve">Por parte del Personal Inspector de esta Secretaría General se </w:t>
      </w:r>
      <w:r>
        <w:rPr>
          <w:rFonts w:ascii="Times New Roman" w:hAnsi="Times New Roman" w:cs="Times New Roman"/>
          <w:sz w:val="24"/>
          <w:szCs w:val="24"/>
        </w:rPr>
        <w:t xml:space="preserve">comprueba </w:t>
      </w:r>
      <w:r w:rsidRPr="00197831">
        <w:rPr>
          <w:rFonts w:ascii="Times New Roman" w:hAnsi="Times New Roman" w:cs="Times New Roman"/>
          <w:sz w:val="24"/>
          <w:szCs w:val="24"/>
        </w:rPr>
        <w:t xml:space="preserve">el efectivo cumplimiento de tales cargas urbanísticas vinculadas al ámbito de incremento de aprovechamiento, levantándose el correspondiente </w:t>
      </w:r>
      <w:r w:rsidRPr="00197831">
        <w:rPr>
          <w:rFonts w:ascii="Times New Roman" w:hAnsi="Times New Roman" w:cs="Times New Roman"/>
          <w:sz w:val="24"/>
          <w:szCs w:val="24"/>
          <w:u w:val="single"/>
        </w:rPr>
        <w:t>Acta de Inspección en fecha 28 de Septiembre de 2015</w:t>
      </w:r>
      <w:r w:rsidRPr="00197831">
        <w:rPr>
          <w:rFonts w:ascii="Times New Roman" w:hAnsi="Times New Roman" w:cs="Times New Roman"/>
          <w:sz w:val="24"/>
          <w:szCs w:val="24"/>
        </w:rPr>
        <w:t xml:space="preserve"> en la que se constata la efectiva cesión de 1380 m2 de techo </w:t>
      </w:r>
      <w:r>
        <w:rPr>
          <w:rFonts w:ascii="Times New Roman" w:hAnsi="Times New Roman" w:cs="Times New Roman"/>
          <w:sz w:val="24"/>
          <w:szCs w:val="24"/>
        </w:rPr>
        <w:t xml:space="preserve">destinados a equipamiento público, </w:t>
      </w:r>
      <w:r w:rsidRPr="00197831">
        <w:rPr>
          <w:rFonts w:ascii="Times New Roman" w:hAnsi="Times New Roman" w:cs="Times New Roman"/>
          <w:sz w:val="24"/>
          <w:szCs w:val="24"/>
        </w:rPr>
        <w:t xml:space="preserve">en los cuales el Ayuntamiento de Marbella ha ubicado los Servicios Urbanísticos Municipales.  </w:t>
      </w:r>
    </w:p>
    <w:p w:rsidR="00547D89" w:rsidRPr="00547D89" w:rsidRDefault="009864F2" w:rsidP="00547D89">
      <w:pPr>
        <w:rPr>
          <w:rFonts w:ascii="Times New Roman" w:hAnsi="Times New Roman" w:cs="Times New Roman"/>
          <w:sz w:val="24"/>
          <w:szCs w:val="24"/>
        </w:rPr>
      </w:pPr>
      <w:r>
        <w:rPr>
          <w:noProof/>
          <w:lang w:eastAsia="es-ES"/>
        </w:rPr>
        <w:drawing>
          <wp:anchor distT="0" distB="0" distL="114300" distR="114300" simplePos="0" relativeHeight="251661312" behindDoc="0" locked="0" layoutInCell="1" allowOverlap="1" wp14:anchorId="0CE2855A" wp14:editId="6922793A">
            <wp:simplePos x="0" y="0"/>
            <wp:positionH relativeFrom="column">
              <wp:posOffset>3350895</wp:posOffset>
            </wp:positionH>
            <wp:positionV relativeFrom="paragraph">
              <wp:posOffset>222885</wp:posOffset>
            </wp:positionV>
            <wp:extent cx="2699385" cy="2838450"/>
            <wp:effectExtent l="0" t="0" r="5715" b="0"/>
            <wp:wrapSquare wrapText="bothSides"/>
            <wp:docPr id="4"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699385" cy="28384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s-ES"/>
        </w:rPr>
        <w:drawing>
          <wp:anchor distT="0" distB="0" distL="0" distR="0" simplePos="0" relativeHeight="251665408" behindDoc="0" locked="0" layoutInCell="1" allowOverlap="1" wp14:anchorId="5D0210D2" wp14:editId="334C3037">
            <wp:simplePos x="0" y="0"/>
            <wp:positionH relativeFrom="column">
              <wp:posOffset>176530</wp:posOffset>
            </wp:positionH>
            <wp:positionV relativeFrom="paragraph">
              <wp:posOffset>275590</wp:posOffset>
            </wp:positionV>
            <wp:extent cx="2542540" cy="2786380"/>
            <wp:effectExtent l="0" t="0" r="0" b="0"/>
            <wp:wrapSquare wrapText="larges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2540" cy="27863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47D89" w:rsidRPr="00547D89" w:rsidRDefault="00547D89" w:rsidP="00547D89">
      <w:pPr>
        <w:rPr>
          <w:rFonts w:ascii="Times New Roman" w:hAnsi="Times New Roman" w:cs="Times New Roman"/>
          <w:sz w:val="24"/>
          <w:szCs w:val="24"/>
        </w:rPr>
      </w:pPr>
    </w:p>
    <w:p w:rsidR="00547D89" w:rsidRPr="00547D89" w:rsidRDefault="00547D89" w:rsidP="00547D89">
      <w:pPr>
        <w:rPr>
          <w:rFonts w:ascii="Times New Roman" w:hAnsi="Times New Roman" w:cs="Times New Roman"/>
          <w:sz w:val="24"/>
          <w:szCs w:val="24"/>
        </w:rPr>
      </w:pPr>
    </w:p>
    <w:p w:rsidR="00547D89" w:rsidRPr="00547D89" w:rsidRDefault="00547D89" w:rsidP="00547D89">
      <w:pPr>
        <w:rPr>
          <w:rFonts w:ascii="Times New Roman" w:hAnsi="Times New Roman" w:cs="Times New Roman"/>
          <w:sz w:val="24"/>
          <w:szCs w:val="24"/>
        </w:rPr>
      </w:pPr>
    </w:p>
    <w:p w:rsidR="00547D89" w:rsidRPr="00547D89" w:rsidRDefault="00547D89" w:rsidP="00547D89">
      <w:pPr>
        <w:rPr>
          <w:rFonts w:ascii="Times New Roman" w:hAnsi="Times New Roman" w:cs="Times New Roman"/>
          <w:sz w:val="24"/>
          <w:szCs w:val="24"/>
        </w:rPr>
      </w:pPr>
    </w:p>
    <w:p w:rsidR="00547D89" w:rsidRPr="00547D89" w:rsidRDefault="00547D89" w:rsidP="00547D89">
      <w:pPr>
        <w:rPr>
          <w:rFonts w:ascii="Times New Roman" w:hAnsi="Times New Roman" w:cs="Times New Roman"/>
          <w:sz w:val="24"/>
          <w:szCs w:val="24"/>
        </w:rPr>
      </w:pPr>
    </w:p>
    <w:p w:rsidR="00547D89" w:rsidRPr="00547D89" w:rsidRDefault="00547D89" w:rsidP="00547D89">
      <w:pPr>
        <w:rPr>
          <w:rFonts w:ascii="Times New Roman" w:hAnsi="Times New Roman" w:cs="Times New Roman"/>
          <w:sz w:val="24"/>
          <w:szCs w:val="24"/>
        </w:rPr>
      </w:pPr>
    </w:p>
    <w:p w:rsidR="00547D89" w:rsidRPr="00547D89" w:rsidRDefault="00547D89" w:rsidP="00547D89">
      <w:pPr>
        <w:rPr>
          <w:rFonts w:ascii="Times New Roman" w:hAnsi="Times New Roman" w:cs="Times New Roman"/>
          <w:sz w:val="24"/>
          <w:szCs w:val="24"/>
        </w:rPr>
      </w:pPr>
    </w:p>
    <w:p w:rsidR="00547D89" w:rsidRPr="00547D89" w:rsidRDefault="00547D89" w:rsidP="00547D89">
      <w:pPr>
        <w:rPr>
          <w:rFonts w:ascii="Times New Roman" w:hAnsi="Times New Roman" w:cs="Times New Roman"/>
          <w:sz w:val="24"/>
          <w:szCs w:val="24"/>
        </w:rPr>
      </w:pPr>
    </w:p>
    <w:p w:rsidR="00547D89" w:rsidRPr="00547D89" w:rsidRDefault="00547D89" w:rsidP="00547D89">
      <w:pPr>
        <w:rPr>
          <w:rFonts w:ascii="Times New Roman" w:hAnsi="Times New Roman" w:cs="Times New Roman"/>
          <w:sz w:val="24"/>
          <w:szCs w:val="24"/>
        </w:rPr>
      </w:pPr>
    </w:p>
    <w:p w:rsidR="00547D89" w:rsidRPr="00547D89" w:rsidRDefault="009864F2" w:rsidP="00547D89">
      <w:pPr>
        <w:rPr>
          <w:rFonts w:ascii="Times New Roman" w:hAnsi="Times New Roman" w:cs="Times New Roman"/>
          <w:sz w:val="24"/>
          <w:szCs w:val="24"/>
        </w:rPr>
      </w:pPr>
      <w:r>
        <w:rPr>
          <w:noProof/>
          <w:lang w:eastAsia="es-ES"/>
        </w:rPr>
        <w:drawing>
          <wp:anchor distT="0" distB="0" distL="114300" distR="114300" simplePos="0" relativeHeight="251663360" behindDoc="0" locked="0" layoutInCell="1" allowOverlap="1" wp14:anchorId="0AF6C008" wp14:editId="3731B8BE">
            <wp:simplePos x="0" y="0"/>
            <wp:positionH relativeFrom="column">
              <wp:posOffset>1127760</wp:posOffset>
            </wp:positionH>
            <wp:positionV relativeFrom="paragraph">
              <wp:posOffset>241300</wp:posOffset>
            </wp:positionV>
            <wp:extent cx="2899410" cy="1732915"/>
            <wp:effectExtent l="0" t="0" r="0" b="635"/>
            <wp:wrapSquare wrapText="bothSides"/>
            <wp:docPr id="5" name="Imagen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899410" cy="1732915"/>
                    </a:xfrm>
                    <a:prstGeom prst="rect">
                      <a:avLst/>
                    </a:prstGeom>
                  </pic:spPr>
                </pic:pic>
              </a:graphicData>
            </a:graphic>
            <wp14:sizeRelH relativeFrom="margin">
              <wp14:pctWidth>0</wp14:pctWidth>
            </wp14:sizeRelH>
            <wp14:sizeRelV relativeFrom="margin">
              <wp14:pctHeight>0</wp14:pctHeight>
            </wp14:sizeRelV>
          </wp:anchor>
        </w:drawing>
      </w:r>
    </w:p>
    <w:p w:rsidR="00547D89" w:rsidRPr="00547D89" w:rsidRDefault="00547D89" w:rsidP="00547D89">
      <w:pPr>
        <w:rPr>
          <w:rFonts w:ascii="Times New Roman" w:hAnsi="Times New Roman" w:cs="Times New Roman"/>
          <w:sz w:val="24"/>
          <w:szCs w:val="24"/>
        </w:rPr>
      </w:pPr>
    </w:p>
    <w:p w:rsidR="00547D89" w:rsidRPr="00547D89" w:rsidRDefault="00547D89" w:rsidP="00547D89">
      <w:pPr>
        <w:rPr>
          <w:rFonts w:ascii="Times New Roman" w:hAnsi="Times New Roman" w:cs="Times New Roman"/>
          <w:sz w:val="24"/>
          <w:szCs w:val="24"/>
        </w:rPr>
      </w:pPr>
    </w:p>
    <w:p w:rsidR="00547D89" w:rsidRPr="00547D89" w:rsidRDefault="00547D89" w:rsidP="00547D89">
      <w:pPr>
        <w:rPr>
          <w:rFonts w:ascii="Times New Roman" w:hAnsi="Times New Roman" w:cs="Times New Roman"/>
          <w:sz w:val="24"/>
          <w:szCs w:val="24"/>
        </w:rPr>
      </w:pPr>
    </w:p>
    <w:p w:rsidR="00547D89" w:rsidRPr="00547D89" w:rsidRDefault="00547D89" w:rsidP="00547D89">
      <w:pPr>
        <w:rPr>
          <w:rFonts w:ascii="Times New Roman" w:hAnsi="Times New Roman" w:cs="Times New Roman"/>
          <w:sz w:val="24"/>
          <w:szCs w:val="24"/>
        </w:rPr>
      </w:pPr>
    </w:p>
    <w:p w:rsidR="00547D89" w:rsidRPr="00547D89" w:rsidRDefault="00547D89" w:rsidP="00547D89">
      <w:pPr>
        <w:rPr>
          <w:rFonts w:ascii="Times New Roman" w:hAnsi="Times New Roman" w:cs="Times New Roman"/>
          <w:sz w:val="24"/>
          <w:szCs w:val="24"/>
        </w:rPr>
      </w:pPr>
    </w:p>
    <w:p w:rsidR="00547D89" w:rsidRPr="00547D89" w:rsidRDefault="00547D89" w:rsidP="00547D89">
      <w:pPr>
        <w:rPr>
          <w:rFonts w:ascii="Times New Roman" w:hAnsi="Times New Roman" w:cs="Times New Roman"/>
          <w:sz w:val="24"/>
          <w:szCs w:val="24"/>
        </w:rPr>
      </w:pPr>
    </w:p>
    <w:p w:rsidR="00547D89" w:rsidRPr="00547D89" w:rsidRDefault="00547D89" w:rsidP="00547D89">
      <w:pPr>
        <w:rPr>
          <w:rFonts w:ascii="Times New Roman" w:hAnsi="Times New Roman" w:cs="Times New Roman"/>
          <w:sz w:val="24"/>
          <w:szCs w:val="24"/>
        </w:rPr>
      </w:pPr>
    </w:p>
    <w:p w:rsidR="009864F2" w:rsidRDefault="009864F2">
      <w:pPr>
        <w:rPr>
          <w:rFonts w:ascii="Times New Roman" w:hAnsi="Times New Roman" w:cs="Times New Roman"/>
          <w:sz w:val="24"/>
          <w:szCs w:val="24"/>
        </w:rPr>
      </w:pPr>
      <w:r>
        <w:rPr>
          <w:rFonts w:ascii="Times New Roman" w:hAnsi="Times New Roman" w:cs="Times New Roman"/>
          <w:sz w:val="24"/>
          <w:szCs w:val="24"/>
        </w:rPr>
        <w:br w:type="page"/>
      </w:r>
    </w:p>
    <w:p w:rsidR="00547D89" w:rsidRPr="00DB3E99" w:rsidRDefault="009864F2" w:rsidP="00547D89">
      <w:pPr>
        <w:rPr>
          <w:rFonts w:ascii="Times New Roman" w:hAnsi="Times New Roman" w:cs="Times New Roman"/>
          <w:b/>
          <w:sz w:val="24"/>
          <w:szCs w:val="24"/>
        </w:rPr>
      </w:pPr>
      <w:r w:rsidRPr="00DB3E99">
        <w:rPr>
          <w:rFonts w:ascii="Times New Roman" w:hAnsi="Times New Roman" w:cs="Times New Roman"/>
          <w:b/>
          <w:sz w:val="24"/>
          <w:szCs w:val="24"/>
        </w:rPr>
        <w:t>CONCLUSI</w:t>
      </w:r>
      <w:r w:rsidR="00DB3E99">
        <w:rPr>
          <w:rFonts w:ascii="Times New Roman" w:hAnsi="Times New Roman" w:cs="Times New Roman"/>
          <w:b/>
          <w:sz w:val="24"/>
          <w:szCs w:val="24"/>
        </w:rPr>
        <w:t>ÓN FINAL</w:t>
      </w:r>
      <w:r w:rsidRPr="00DB3E99">
        <w:rPr>
          <w:rFonts w:ascii="Times New Roman" w:hAnsi="Times New Roman" w:cs="Times New Roman"/>
          <w:b/>
          <w:sz w:val="24"/>
          <w:szCs w:val="24"/>
        </w:rPr>
        <w:t xml:space="preserve">: </w:t>
      </w:r>
    </w:p>
    <w:p w:rsidR="00DB3E99" w:rsidRDefault="009864F2" w:rsidP="00547D89">
      <w:pPr>
        <w:rPr>
          <w:rFonts w:ascii="Times New Roman" w:hAnsi="Times New Roman" w:cs="Times New Roman"/>
          <w:sz w:val="24"/>
          <w:szCs w:val="24"/>
        </w:rPr>
      </w:pPr>
      <w:r w:rsidRPr="009864F2">
        <w:rPr>
          <w:rFonts w:ascii="Times New Roman" w:hAnsi="Times New Roman" w:cs="Times New Roman"/>
          <w:sz w:val="24"/>
          <w:szCs w:val="24"/>
        </w:rPr>
        <w:t xml:space="preserve">Frente a muchas de las afirmaciones que leemos en la prensa o incluso en  medios más autorizados, las tres Sentencias del Tribunal Supremo </w:t>
      </w:r>
      <w:r>
        <w:rPr>
          <w:rFonts w:ascii="Times New Roman" w:hAnsi="Times New Roman" w:cs="Times New Roman"/>
          <w:sz w:val="24"/>
          <w:szCs w:val="24"/>
        </w:rPr>
        <w:t xml:space="preserve">dictadas en fechas 27 y 28 de Octubre de 2015 </w:t>
      </w:r>
      <w:r w:rsidR="00DB3E99">
        <w:rPr>
          <w:rFonts w:ascii="Times New Roman" w:hAnsi="Times New Roman" w:cs="Times New Roman"/>
          <w:sz w:val="24"/>
          <w:szCs w:val="24"/>
        </w:rPr>
        <w:t xml:space="preserve">por las que se declaró nulo el PGOU de la Ciudad de Marbella, </w:t>
      </w:r>
      <w:r w:rsidRPr="009864F2">
        <w:rPr>
          <w:rFonts w:ascii="Times New Roman" w:hAnsi="Times New Roman" w:cs="Times New Roman"/>
          <w:sz w:val="24"/>
          <w:szCs w:val="24"/>
        </w:rPr>
        <w:t xml:space="preserve">no han declarado nulo,  ni inexistente, ni han invalidado el </w:t>
      </w:r>
      <w:r w:rsidRPr="00F87A32">
        <w:rPr>
          <w:rFonts w:ascii="Times New Roman" w:hAnsi="Times New Roman" w:cs="Times New Roman"/>
          <w:sz w:val="24"/>
          <w:szCs w:val="24"/>
          <w:u w:val="single"/>
        </w:rPr>
        <w:t>cumplimiento por equivalencia</w:t>
      </w:r>
      <w:r w:rsidR="00DB3E99">
        <w:rPr>
          <w:rFonts w:ascii="Times New Roman" w:hAnsi="Times New Roman" w:cs="Times New Roman"/>
          <w:sz w:val="24"/>
          <w:szCs w:val="24"/>
        </w:rPr>
        <w:t xml:space="preserve">. </w:t>
      </w:r>
    </w:p>
    <w:p w:rsidR="009864F2" w:rsidRDefault="00DB3E99" w:rsidP="00547D89">
      <w:pPr>
        <w:rPr>
          <w:rFonts w:ascii="Times New Roman" w:hAnsi="Times New Roman" w:cs="Times New Roman"/>
          <w:sz w:val="24"/>
          <w:szCs w:val="24"/>
        </w:rPr>
      </w:pPr>
      <w:r>
        <w:rPr>
          <w:rFonts w:ascii="Times New Roman" w:hAnsi="Times New Roman" w:cs="Times New Roman"/>
          <w:sz w:val="24"/>
          <w:szCs w:val="24"/>
        </w:rPr>
        <w:t>D</w:t>
      </w:r>
      <w:r w:rsidR="009864F2" w:rsidRPr="009864F2">
        <w:rPr>
          <w:rFonts w:ascii="Times New Roman" w:hAnsi="Times New Roman" w:cs="Times New Roman"/>
          <w:sz w:val="24"/>
          <w:szCs w:val="24"/>
        </w:rPr>
        <w:t>icha figura jurídica existe y se encuentra recogida en el ordenamiento jurídico como un modo anormal, pero perfectamente legal, del cumplimiento de un fallo judicial cuya consecuencia inicial es la demolición de lo construido al amparo de una licencia declarada nula, cuando se produce –fundamentalmente- un cambio en la figura de planeamiento urbanístico que, con los requisitos exigidos jurisprudencialmente de contar con aprobación definitiva y no obedecer a la intención de eludir el cumplimiento del fallo judicial, permite que este nuevo planeamiento general no opere como automática legalización de lo construido pero sí como posibilidad de instarse del órgano administrativo competente la oportuna legalización, cuya resolución al respecto, será susceptible de control judicial en fase de ejecución de sentencia (por todas, S</w:t>
      </w:r>
      <w:r>
        <w:rPr>
          <w:rFonts w:ascii="Times New Roman" w:hAnsi="Times New Roman" w:cs="Times New Roman"/>
          <w:sz w:val="24"/>
          <w:szCs w:val="24"/>
        </w:rPr>
        <w:t xml:space="preserve">TS de 26 de Septiembre de 2006), ejecución que compete en exclusiva al poder judicial. </w:t>
      </w:r>
    </w:p>
    <w:p w:rsidR="00F87A32" w:rsidRDefault="00F87A32" w:rsidP="000A0B50">
      <w:pPr>
        <w:rPr>
          <w:rFonts w:ascii="Times New Roman" w:hAnsi="Times New Roman" w:cs="Times New Roman"/>
          <w:sz w:val="24"/>
          <w:szCs w:val="24"/>
        </w:rPr>
      </w:pPr>
      <w:r>
        <w:rPr>
          <w:rFonts w:ascii="Times New Roman" w:hAnsi="Times New Roman" w:cs="Times New Roman"/>
          <w:sz w:val="24"/>
          <w:szCs w:val="24"/>
        </w:rPr>
        <w:t>Las “</w:t>
      </w:r>
      <w:r w:rsidRPr="00F87A32">
        <w:rPr>
          <w:rFonts w:ascii="Times New Roman" w:hAnsi="Times New Roman" w:cs="Times New Roman"/>
          <w:sz w:val="24"/>
          <w:szCs w:val="24"/>
          <w:u w:val="single"/>
        </w:rPr>
        <w:t>actuaciones de dotación</w:t>
      </w:r>
      <w:r>
        <w:rPr>
          <w:rFonts w:ascii="Times New Roman" w:hAnsi="Times New Roman" w:cs="Times New Roman"/>
          <w:sz w:val="24"/>
          <w:szCs w:val="24"/>
          <w:u w:val="single"/>
        </w:rPr>
        <w:t>”</w:t>
      </w:r>
      <w:r>
        <w:rPr>
          <w:rFonts w:ascii="Times New Roman" w:hAnsi="Times New Roman" w:cs="Times New Roman"/>
          <w:sz w:val="24"/>
          <w:szCs w:val="24"/>
        </w:rPr>
        <w:t xml:space="preserve"> a las que me refería en la primera parte de la exposición suponen una cobertura legal prevista tanto por el legislador estatal de suelo como por el legislador autonómico para su utilización por parte del juez  </w:t>
      </w:r>
      <w:r w:rsidRPr="00F87A32">
        <w:rPr>
          <w:rFonts w:ascii="Times New Roman" w:hAnsi="Times New Roman" w:cs="Times New Roman"/>
          <w:sz w:val="24"/>
          <w:szCs w:val="24"/>
        </w:rPr>
        <w:t>de lo contencioso-administrativo</w:t>
      </w:r>
      <w:r>
        <w:rPr>
          <w:rFonts w:ascii="Times New Roman" w:hAnsi="Times New Roman" w:cs="Times New Roman"/>
          <w:sz w:val="24"/>
          <w:szCs w:val="24"/>
        </w:rPr>
        <w:t>,</w:t>
      </w:r>
      <w:r w:rsidRPr="00F87A32">
        <w:rPr>
          <w:rFonts w:ascii="Times New Roman" w:hAnsi="Times New Roman" w:cs="Times New Roman"/>
          <w:sz w:val="24"/>
          <w:szCs w:val="24"/>
        </w:rPr>
        <w:t xml:space="preserve"> </w:t>
      </w:r>
      <w:r>
        <w:rPr>
          <w:rFonts w:ascii="Times New Roman" w:hAnsi="Times New Roman" w:cs="Times New Roman"/>
          <w:sz w:val="24"/>
          <w:szCs w:val="24"/>
        </w:rPr>
        <w:t xml:space="preserve">en suelos urbanos no consolidados,  </w:t>
      </w:r>
      <w:r w:rsidRPr="00F87A32">
        <w:rPr>
          <w:rFonts w:ascii="Times New Roman" w:hAnsi="Times New Roman" w:cs="Times New Roman"/>
          <w:sz w:val="24"/>
          <w:szCs w:val="24"/>
        </w:rPr>
        <w:t>como posibilidad de</w:t>
      </w:r>
      <w:r>
        <w:rPr>
          <w:rFonts w:ascii="Times New Roman" w:hAnsi="Times New Roman" w:cs="Times New Roman"/>
          <w:sz w:val="24"/>
          <w:szCs w:val="24"/>
        </w:rPr>
        <w:t xml:space="preserve"> efectivo cumplimiento de una </w:t>
      </w:r>
      <w:r w:rsidRPr="00F87A32">
        <w:rPr>
          <w:rFonts w:ascii="Times New Roman" w:hAnsi="Times New Roman" w:cs="Times New Roman"/>
          <w:sz w:val="24"/>
          <w:szCs w:val="24"/>
        </w:rPr>
        <w:t xml:space="preserve">sentencia anulatoria de licencia, </w:t>
      </w:r>
      <w:r>
        <w:rPr>
          <w:rFonts w:ascii="Times New Roman" w:hAnsi="Times New Roman" w:cs="Times New Roman"/>
          <w:sz w:val="24"/>
          <w:szCs w:val="24"/>
        </w:rPr>
        <w:t xml:space="preserve">siempre que se </w:t>
      </w:r>
      <w:r w:rsidRPr="00F87A32">
        <w:rPr>
          <w:rFonts w:ascii="Times New Roman" w:hAnsi="Times New Roman" w:cs="Times New Roman"/>
          <w:sz w:val="24"/>
          <w:szCs w:val="24"/>
        </w:rPr>
        <w:t>satisfa</w:t>
      </w:r>
      <w:r>
        <w:rPr>
          <w:rFonts w:ascii="Times New Roman" w:hAnsi="Times New Roman" w:cs="Times New Roman"/>
          <w:sz w:val="24"/>
          <w:szCs w:val="24"/>
        </w:rPr>
        <w:t>gan</w:t>
      </w:r>
      <w:r w:rsidRPr="00F87A32">
        <w:rPr>
          <w:rFonts w:ascii="Times New Roman" w:hAnsi="Times New Roman" w:cs="Times New Roman"/>
          <w:sz w:val="24"/>
          <w:szCs w:val="24"/>
        </w:rPr>
        <w:t xml:space="preserve"> las cargas urbanísticas en plazo y forma </w:t>
      </w:r>
      <w:r w:rsidR="006D27CC">
        <w:rPr>
          <w:rFonts w:ascii="Times New Roman" w:hAnsi="Times New Roman" w:cs="Times New Roman"/>
          <w:sz w:val="24"/>
          <w:szCs w:val="24"/>
        </w:rPr>
        <w:t xml:space="preserve">y </w:t>
      </w:r>
      <w:r w:rsidRPr="00F87A32">
        <w:rPr>
          <w:rFonts w:ascii="Times New Roman" w:hAnsi="Times New Roman" w:cs="Times New Roman"/>
          <w:sz w:val="24"/>
          <w:szCs w:val="24"/>
        </w:rPr>
        <w:t xml:space="preserve">siempre </w:t>
      </w:r>
      <w:r>
        <w:rPr>
          <w:rFonts w:ascii="Times New Roman" w:hAnsi="Times New Roman" w:cs="Times New Roman"/>
          <w:sz w:val="24"/>
          <w:szCs w:val="24"/>
        </w:rPr>
        <w:t xml:space="preserve">–se subraya- </w:t>
      </w:r>
      <w:r w:rsidRPr="00F87A32">
        <w:rPr>
          <w:rFonts w:ascii="Times New Roman" w:hAnsi="Times New Roman" w:cs="Times New Roman"/>
          <w:sz w:val="24"/>
          <w:szCs w:val="24"/>
        </w:rPr>
        <w:t xml:space="preserve">bajo </w:t>
      </w:r>
      <w:r>
        <w:rPr>
          <w:rFonts w:ascii="Times New Roman" w:hAnsi="Times New Roman" w:cs="Times New Roman"/>
          <w:sz w:val="24"/>
          <w:szCs w:val="24"/>
        </w:rPr>
        <w:t xml:space="preserve">el </w:t>
      </w:r>
      <w:r w:rsidRPr="00F87A32">
        <w:rPr>
          <w:rFonts w:ascii="Times New Roman" w:hAnsi="Times New Roman" w:cs="Times New Roman"/>
          <w:sz w:val="24"/>
          <w:szCs w:val="24"/>
        </w:rPr>
        <w:t xml:space="preserve">control y tutela </w:t>
      </w:r>
      <w:r>
        <w:rPr>
          <w:rFonts w:ascii="Times New Roman" w:hAnsi="Times New Roman" w:cs="Times New Roman"/>
          <w:sz w:val="24"/>
          <w:szCs w:val="24"/>
        </w:rPr>
        <w:t xml:space="preserve">del juez encargado de hacer cumplir dicha sentencia. </w:t>
      </w:r>
    </w:p>
    <w:p w:rsidR="00C4171C" w:rsidRDefault="00C4171C" w:rsidP="000A0B50">
      <w:pPr>
        <w:rPr>
          <w:rFonts w:ascii="Times New Roman" w:hAnsi="Times New Roman" w:cs="Times New Roman"/>
          <w:sz w:val="24"/>
          <w:szCs w:val="24"/>
        </w:rPr>
      </w:pPr>
      <w:r>
        <w:rPr>
          <w:rFonts w:ascii="Times New Roman" w:hAnsi="Times New Roman" w:cs="Times New Roman"/>
          <w:sz w:val="24"/>
          <w:szCs w:val="24"/>
        </w:rPr>
        <w:t xml:space="preserve">Las </w:t>
      </w:r>
      <w:r w:rsidR="00216B1A">
        <w:rPr>
          <w:rFonts w:ascii="Times New Roman" w:hAnsi="Times New Roman" w:cs="Times New Roman"/>
          <w:sz w:val="24"/>
          <w:szCs w:val="24"/>
        </w:rPr>
        <w:t xml:space="preserve">innovaciones de </w:t>
      </w:r>
      <w:r>
        <w:rPr>
          <w:rFonts w:ascii="Times New Roman" w:hAnsi="Times New Roman" w:cs="Times New Roman"/>
          <w:sz w:val="24"/>
          <w:szCs w:val="24"/>
        </w:rPr>
        <w:t xml:space="preserve">planeamiento que cumplan los condicionantes a los que nos hemos referido, pueden contribuir a la recualificación de la ciudad compacta, a la regeneración y obtención de dotaciones incluso en suelos en los que se hayan edificado actuaciones irregulares, mediante el cumplimiento por equivalencia de resoluciones judiciales firmes. </w:t>
      </w:r>
    </w:p>
    <w:p w:rsidR="0055320B" w:rsidRDefault="0055320B" w:rsidP="000A0B50">
      <w:pPr>
        <w:rPr>
          <w:rFonts w:ascii="Times New Roman" w:hAnsi="Times New Roman" w:cs="Times New Roman"/>
          <w:sz w:val="24"/>
          <w:szCs w:val="24"/>
        </w:rPr>
      </w:pPr>
    </w:p>
    <w:p w:rsidR="00C374E3" w:rsidRPr="00C374E3" w:rsidRDefault="00C374E3" w:rsidP="00C374E3">
      <w:pPr>
        <w:jc w:val="center"/>
        <w:rPr>
          <w:rFonts w:ascii="Times New Roman" w:hAnsi="Times New Roman" w:cs="Times New Roman"/>
          <w:sz w:val="24"/>
          <w:szCs w:val="24"/>
        </w:rPr>
      </w:pPr>
      <w:r w:rsidRPr="00C374E3">
        <w:rPr>
          <w:rFonts w:ascii="Times New Roman" w:hAnsi="Times New Roman" w:cs="Times New Roman"/>
          <w:sz w:val="24"/>
          <w:szCs w:val="24"/>
        </w:rPr>
        <w:t>Santiago de Compostela.</w:t>
      </w:r>
    </w:p>
    <w:p w:rsidR="0055320B" w:rsidRDefault="00C374E3" w:rsidP="00C374E3">
      <w:pPr>
        <w:jc w:val="center"/>
        <w:rPr>
          <w:rFonts w:ascii="Times New Roman" w:hAnsi="Times New Roman" w:cs="Times New Roman"/>
          <w:sz w:val="24"/>
          <w:szCs w:val="24"/>
        </w:rPr>
      </w:pPr>
      <w:r w:rsidRPr="00C374E3">
        <w:rPr>
          <w:rFonts w:ascii="Times New Roman" w:hAnsi="Times New Roman" w:cs="Times New Roman"/>
          <w:sz w:val="24"/>
          <w:szCs w:val="24"/>
        </w:rPr>
        <w:t>Junio de 2016.</w:t>
      </w:r>
    </w:p>
    <w:p w:rsidR="0055320B" w:rsidRDefault="0055320B" w:rsidP="000A0B50">
      <w:pPr>
        <w:rPr>
          <w:rFonts w:ascii="Times New Roman" w:hAnsi="Times New Roman" w:cs="Times New Roman"/>
          <w:sz w:val="24"/>
          <w:szCs w:val="24"/>
        </w:rPr>
      </w:pPr>
    </w:p>
    <w:p w:rsidR="0055320B" w:rsidRDefault="0055320B" w:rsidP="000A0B50">
      <w:pPr>
        <w:rPr>
          <w:rFonts w:ascii="Times New Roman" w:hAnsi="Times New Roman" w:cs="Times New Roman"/>
          <w:sz w:val="24"/>
          <w:szCs w:val="24"/>
        </w:rPr>
      </w:pPr>
    </w:p>
    <w:p w:rsidR="00C374E3" w:rsidRDefault="00C374E3" w:rsidP="000A0B50">
      <w:pPr>
        <w:rPr>
          <w:rFonts w:ascii="Times New Roman" w:hAnsi="Times New Roman" w:cs="Times New Roman"/>
          <w:sz w:val="24"/>
          <w:szCs w:val="24"/>
        </w:rPr>
      </w:pPr>
    </w:p>
    <w:p w:rsidR="00C374E3" w:rsidRDefault="00C374E3" w:rsidP="000A0B50">
      <w:pPr>
        <w:rPr>
          <w:rFonts w:ascii="Times New Roman" w:hAnsi="Times New Roman" w:cs="Times New Roman"/>
          <w:sz w:val="24"/>
          <w:szCs w:val="24"/>
        </w:rPr>
      </w:pPr>
    </w:p>
    <w:p w:rsidR="0055320B" w:rsidRDefault="0055320B" w:rsidP="000A0B50">
      <w:pPr>
        <w:rPr>
          <w:rFonts w:ascii="Times New Roman" w:hAnsi="Times New Roman" w:cs="Times New Roman"/>
          <w:sz w:val="24"/>
          <w:szCs w:val="24"/>
        </w:rPr>
      </w:pPr>
    </w:p>
    <w:p w:rsidR="0055320B" w:rsidRPr="0055320B" w:rsidRDefault="0055320B" w:rsidP="0055320B">
      <w:pPr>
        <w:jc w:val="right"/>
        <w:rPr>
          <w:rFonts w:ascii="Times New Roman" w:hAnsi="Times New Roman" w:cs="Times New Roman"/>
          <w:sz w:val="48"/>
          <w:szCs w:val="48"/>
        </w:rPr>
      </w:pPr>
      <w:r w:rsidRPr="0055320B">
        <w:rPr>
          <w:rFonts w:ascii="Times New Roman" w:hAnsi="Times New Roman" w:cs="Times New Roman"/>
          <w:sz w:val="48"/>
          <w:szCs w:val="48"/>
        </w:rPr>
        <w:t xml:space="preserve">MUCHAS GRACIAS. </w:t>
      </w:r>
    </w:p>
    <w:p w:rsidR="0055320B" w:rsidRDefault="0055320B" w:rsidP="000A0B50">
      <w:pPr>
        <w:rPr>
          <w:rFonts w:ascii="Times New Roman" w:hAnsi="Times New Roman" w:cs="Times New Roman"/>
          <w:sz w:val="24"/>
          <w:szCs w:val="24"/>
        </w:rPr>
      </w:pPr>
    </w:p>
    <w:p w:rsidR="0055320B" w:rsidRDefault="0055320B" w:rsidP="000A0B50">
      <w:pPr>
        <w:rPr>
          <w:rFonts w:ascii="Times New Roman" w:hAnsi="Times New Roman" w:cs="Times New Roman"/>
          <w:sz w:val="24"/>
          <w:szCs w:val="24"/>
        </w:rPr>
      </w:pPr>
    </w:p>
    <w:p w:rsidR="0055320B" w:rsidRDefault="0055320B" w:rsidP="000A0B50">
      <w:pPr>
        <w:rPr>
          <w:rFonts w:ascii="Times New Roman" w:hAnsi="Times New Roman" w:cs="Times New Roman"/>
          <w:sz w:val="24"/>
          <w:szCs w:val="24"/>
        </w:rPr>
      </w:pPr>
    </w:p>
    <w:p w:rsidR="0055320B" w:rsidRDefault="0055320B" w:rsidP="000A0B50">
      <w:pPr>
        <w:rPr>
          <w:rFonts w:ascii="Times New Roman" w:hAnsi="Times New Roman" w:cs="Times New Roman"/>
          <w:sz w:val="24"/>
          <w:szCs w:val="24"/>
        </w:rPr>
      </w:pPr>
    </w:p>
    <w:p w:rsidR="0055320B" w:rsidRDefault="0055320B" w:rsidP="000A0B50">
      <w:pPr>
        <w:rPr>
          <w:rFonts w:ascii="Times New Roman" w:hAnsi="Times New Roman" w:cs="Times New Roman"/>
          <w:sz w:val="24"/>
          <w:szCs w:val="24"/>
        </w:rPr>
      </w:pPr>
    </w:p>
    <w:p w:rsidR="0055320B" w:rsidRDefault="0055320B" w:rsidP="000A0B50">
      <w:pPr>
        <w:rPr>
          <w:rFonts w:ascii="Times New Roman" w:hAnsi="Times New Roman" w:cs="Times New Roman"/>
          <w:sz w:val="24"/>
          <w:szCs w:val="24"/>
        </w:rPr>
      </w:pPr>
    </w:p>
    <w:sectPr w:rsidR="0055320B" w:rsidSect="000F763A">
      <w:footerReference w:type="default" r:id="rId13"/>
      <w:pgSz w:w="11906" w:h="16838"/>
      <w:pgMar w:top="1417" w:right="127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6F0" w:rsidRDefault="00CA26F0" w:rsidP="00CA26F0">
      <w:pPr>
        <w:spacing w:after="0" w:line="240" w:lineRule="auto"/>
      </w:pPr>
      <w:r>
        <w:separator/>
      </w:r>
    </w:p>
  </w:endnote>
  <w:endnote w:type="continuationSeparator" w:id="0">
    <w:p w:rsidR="00CA26F0" w:rsidRDefault="00CA26F0" w:rsidP="00CA2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639825"/>
      <w:docPartObj>
        <w:docPartGallery w:val="Page Numbers (Bottom of Page)"/>
        <w:docPartUnique/>
      </w:docPartObj>
    </w:sdtPr>
    <w:sdtEndPr/>
    <w:sdtContent>
      <w:p w:rsidR="00CA26F0" w:rsidRDefault="00CA26F0">
        <w:pPr>
          <w:pStyle w:val="Piedepgina"/>
          <w:jc w:val="right"/>
        </w:pPr>
        <w:r>
          <w:fldChar w:fldCharType="begin"/>
        </w:r>
        <w:r>
          <w:instrText>PAGE   \* MERGEFORMAT</w:instrText>
        </w:r>
        <w:r>
          <w:fldChar w:fldCharType="separate"/>
        </w:r>
        <w:r w:rsidR="00E01335">
          <w:rPr>
            <w:noProof/>
          </w:rPr>
          <w:t>21</w:t>
        </w:r>
        <w:r>
          <w:fldChar w:fldCharType="end"/>
        </w:r>
      </w:p>
    </w:sdtContent>
  </w:sdt>
  <w:p w:rsidR="00CA26F0" w:rsidRDefault="00CA26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6F0" w:rsidRDefault="00CA26F0" w:rsidP="00CA26F0">
      <w:pPr>
        <w:spacing w:after="0" w:line="240" w:lineRule="auto"/>
      </w:pPr>
      <w:r>
        <w:separator/>
      </w:r>
    </w:p>
  </w:footnote>
  <w:footnote w:type="continuationSeparator" w:id="0">
    <w:p w:rsidR="00CA26F0" w:rsidRDefault="00CA26F0" w:rsidP="00CA26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50E7"/>
    <w:multiLevelType w:val="hybridMultilevel"/>
    <w:tmpl w:val="C4EC0D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9FC3296"/>
    <w:multiLevelType w:val="hybridMultilevel"/>
    <w:tmpl w:val="E87EBD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1694639"/>
    <w:multiLevelType w:val="hybridMultilevel"/>
    <w:tmpl w:val="BB40007C"/>
    <w:lvl w:ilvl="0" w:tplc="3DF670CC">
      <w:start w:val="1"/>
      <w:numFmt w:val="bullet"/>
      <w:lvlText w:val="-"/>
      <w:lvlJc w:val="left"/>
      <w:pPr>
        <w:ind w:left="1068" w:hanging="360"/>
      </w:pPr>
      <w:rPr>
        <w:rFonts w:ascii="Times New Roman" w:eastAsiaTheme="minorHAnsi"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nsid w:val="4581351A"/>
    <w:multiLevelType w:val="hybridMultilevel"/>
    <w:tmpl w:val="E1B46D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68E73A62"/>
    <w:multiLevelType w:val="hybridMultilevel"/>
    <w:tmpl w:val="DF4E6614"/>
    <w:lvl w:ilvl="0" w:tplc="7FA09FC6">
      <w:start w:val="1"/>
      <w:numFmt w:val="decimal"/>
      <w:lvlText w:val="%1."/>
      <w:lvlJc w:val="left"/>
      <w:pPr>
        <w:ind w:left="1413" w:hanging="705"/>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
    <w:nsid w:val="712C7A3F"/>
    <w:multiLevelType w:val="hybridMultilevel"/>
    <w:tmpl w:val="342848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CCD"/>
    <w:rsid w:val="0000138B"/>
    <w:rsid w:val="00004AB7"/>
    <w:rsid w:val="000160C9"/>
    <w:rsid w:val="000372AE"/>
    <w:rsid w:val="00050D41"/>
    <w:rsid w:val="000A0B50"/>
    <w:rsid w:val="000D442D"/>
    <w:rsid w:val="000E1583"/>
    <w:rsid w:val="000E678A"/>
    <w:rsid w:val="000F371A"/>
    <w:rsid w:val="000F6564"/>
    <w:rsid w:val="000F6B9B"/>
    <w:rsid w:val="000F763A"/>
    <w:rsid w:val="0011330C"/>
    <w:rsid w:val="0015544C"/>
    <w:rsid w:val="00197831"/>
    <w:rsid w:val="001F587C"/>
    <w:rsid w:val="0020017A"/>
    <w:rsid w:val="00216B1A"/>
    <w:rsid w:val="00242DCB"/>
    <w:rsid w:val="002610D1"/>
    <w:rsid w:val="002822DD"/>
    <w:rsid w:val="002B3481"/>
    <w:rsid w:val="002E6EFC"/>
    <w:rsid w:val="002F2367"/>
    <w:rsid w:val="0030051D"/>
    <w:rsid w:val="00302AA7"/>
    <w:rsid w:val="003074A6"/>
    <w:rsid w:val="00360740"/>
    <w:rsid w:val="00361BD0"/>
    <w:rsid w:val="00370116"/>
    <w:rsid w:val="003C4C16"/>
    <w:rsid w:val="003C7980"/>
    <w:rsid w:val="003E5935"/>
    <w:rsid w:val="003F4F40"/>
    <w:rsid w:val="004133B1"/>
    <w:rsid w:val="00416763"/>
    <w:rsid w:val="00435C58"/>
    <w:rsid w:val="00435F20"/>
    <w:rsid w:val="00440304"/>
    <w:rsid w:val="004B470C"/>
    <w:rsid w:val="004D196E"/>
    <w:rsid w:val="005476A9"/>
    <w:rsid w:val="00547D89"/>
    <w:rsid w:val="0055320B"/>
    <w:rsid w:val="00587C29"/>
    <w:rsid w:val="005D4269"/>
    <w:rsid w:val="00607E3F"/>
    <w:rsid w:val="006137BE"/>
    <w:rsid w:val="00644C9F"/>
    <w:rsid w:val="0065104B"/>
    <w:rsid w:val="00676A9E"/>
    <w:rsid w:val="00681CCD"/>
    <w:rsid w:val="006B2214"/>
    <w:rsid w:val="006D27CC"/>
    <w:rsid w:val="006F07C1"/>
    <w:rsid w:val="00710178"/>
    <w:rsid w:val="007113EA"/>
    <w:rsid w:val="00733746"/>
    <w:rsid w:val="007540F3"/>
    <w:rsid w:val="00774030"/>
    <w:rsid w:val="007A4518"/>
    <w:rsid w:val="007B3A32"/>
    <w:rsid w:val="008220BC"/>
    <w:rsid w:val="00846C8E"/>
    <w:rsid w:val="0085610D"/>
    <w:rsid w:val="008570A8"/>
    <w:rsid w:val="00857B1D"/>
    <w:rsid w:val="00877AC7"/>
    <w:rsid w:val="0088258F"/>
    <w:rsid w:val="00883A87"/>
    <w:rsid w:val="008A71CD"/>
    <w:rsid w:val="008A7FBE"/>
    <w:rsid w:val="008E2CA1"/>
    <w:rsid w:val="008F5D45"/>
    <w:rsid w:val="00983E5F"/>
    <w:rsid w:val="009864F2"/>
    <w:rsid w:val="00990955"/>
    <w:rsid w:val="009A23D9"/>
    <w:rsid w:val="009D3378"/>
    <w:rsid w:val="00A031EE"/>
    <w:rsid w:val="00A245BF"/>
    <w:rsid w:val="00A42C44"/>
    <w:rsid w:val="00A73190"/>
    <w:rsid w:val="00A734BF"/>
    <w:rsid w:val="00A81A51"/>
    <w:rsid w:val="00AC14EC"/>
    <w:rsid w:val="00AD03D9"/>
    <w:rsid w:val="00AF651D"/>
    <w:rsid w:val="00B22E1C"/>
    <w:rsid w:val="00B97F62"/>
    <w:rsid w:val="00BD6789"/>
    <w:rsid w:val="00BE066E"/>
    <w:rsid w:val="00BE210F"/>
    <w:rsid w:val="00BE4E27"/>
    <w:rsid w:val="00C374E3"/>
    <w:rsid w:val="00C4171C"/>
    <w:rsid w:val="00C63D9D"/>
    <w:rsid w:val="00C77B79"/>
    <w:rsid w:val="00C93BDE"/>
    <w:rsid w:val="00CA1C06"/>
    <w:rsid w:val="00CA26F0"/>
    <w:rsid w:val="00CA4CE0"/>
    <w:rsid w:val="00CB7C4C"/>
    <w:rsid w:val="00CF4006"/>
    <w:rsid w:val="00D002CE"/>
    <w:rsid w:val="00D00470"/>
    <w:rsid w:val="00D10FE7"/>
    <w:rsid w:val="00D17D9D"/>
    <w:rsid w:val="00D517F1"/>
    <w:rsid w:val="00D600C9"/>
    <w:rsid w:val="00DA6C7C"/>
    <w:rsid w:val="00DB3E99"/>
    <w:rsid w:val="00DB7E01"/>
    <w:rsid w:val="00DD041F"/>
    <w:rsid w:val="00DF4D59"/>
    <w:rsid w:val="00E01335"/>
    <w:rsid w:val="00E26C41"/>
    <w:rsid w:val="00E43BB7"/>
    <w:rsid w:val="00E87D27"/>
    <w:rsid w:val="00E918F5"/>
    <w:rsid w:val="00ED5567"/>
    <w:rsid w:val="00ED57D3"/>
    <w:rsid w:val="00ED7280"/>
    <w:rsid w:val="00EE6DB6"/>
    <w:rsid w:val="00F3601B"/>
    <w:rsid w:val="00F37C09"/>
    <w:rsid w:val="00F54E42"/>
    <w:rsid w:val="00F750EC"/>
    <w:rsid w:val="00F85366"/>
    <w:rsid w:val="00F85B8C"/>
    <w:rsid w:val="00F87A32"/>
    <w:rsid w:val="00FA120A"/>
    <w:rsid w:val="00FB3517"/>
    <w:rsid w:val="00FD01F3"/>
    <w:rsid w:val="00FE2B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s-E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030"/>
  </w:style>
  <w:style w:type="paragraph" w:styleId="Ttulo1">
    <w:name w:val="heading 1"/>
    <w:basedOn w:val="Normal"/>
    <w:next w:val="Normal"/>
    <w:link w:val="Ttulo1Car"/>
    <w:uiPriority w:val="9"/>
    <w:qFormat/>
    <w:rsid w:val="00774030"/>
    <w:pPr>
      <w:spacing w:before="300" w:after="40"/>
      <w:jc w:val="left"/>
      <w:outlineLvl w:val="0"/>
    </w:pPr>
    <w:rPr>
      <w:smallCaps/>
      <w:spacing w:val="5"/>
      <w:sz w:val="32"/>
      <w:szCs w:val="32"/>
    </w:rPr>
  </w:style>
  <w:style w:type="paragraph" w:styleId="Ttulo2">
    <w:name w:val="heading 2"/>
    <w:basedOn w:val="Normal"/>
    <w:next w:val="Normal"/>
    <w:link w:val="Ttulo2Car"/>
    <w:uiPriority w:val="9"/>
    <w:semiHidden/>
    <w:unhideWhenUsed/>
    <w:qFormat/>
    <w:rsid w:val="00774030"/>
    <w:pPr>
      <w:spacing w:before="240" w:after="80"/>
      <w:jc w:val="left"/>
      <w:outlineLvl w:val="1"/>
    </w:pPr>
    <w:rPr>
      <w:smallCaps/>
      <w:spacing w:val="5"/>
      <w:sz w:val="28"/>
      <w:szCs w:val="28"/>
    </w:rPr>
  </w:style>
  <w:style w:type="paragraph" w:styleId="Ttulo3">
    <w:name w:val="heading 3"/>
    <w:basedOn w:val="Normal"/>
    <w:next w:val="Normal"/>
    <w:link w:val="Ttulo3Car"/>
    <w:uiPriority w:val="9"/>
    <w:semiHidden/>
    <w:unhideWhenUsed/>
    <w:qFormat/>
    <w:rsid w:val="00774030"/>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774030"/>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774030"/>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774030"/>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774030"/>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774030"/>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774030"/>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4030"/>
    <w:rPr>
      <w:smallCaps/>
      <w:spacing w:val="5"/>
      <w:sz w:val="32"/>
      <w:szCs w:val="32"/>
    </w:rPr>
  </w:style>
  <w:style w:type="character" w:customStyle="1" w:styleId="Ttulo2Car">
    <w:name w:val="Título 2 Car"/>
    <w:basedOn w:val="Fuentedeprrafopredeter"/>
    <w:link w:val="Ttulo2"/>
    <w:uiPriority w:val="9"/>
    <w:semiHidden/>
    <w:rsid w:val="00774030"/>
    <w:rPr>
      <w:smallCaps/>
      <w:spacing w:val="5"/>
      <w:sz w:val="28"/>
      <w:szCs w:val="28"/>
    </w:rPr>
  </w:style>
  <w:style w:type="character" w:customStyle="1" w:styleId="Ttulo3Car">
    <w:name w:val="Título 3 Car"/>
    <w:basedOn w:val="Fuentedeprrafopredeter"/>
    <w:link w:val="Ttulo3"/>
    <w:uiPriority w:val="9"/>
    <w:semiHidden/>
    <w:rsid w:val="00774030"/>
    <w:rPr>
      <w:smallCaps/>
      <w:spacing w:val="5"/>
      <w:sz w:val="24"/>
      <w:szCs w:val="24"/>
    </w:rPr>
  </w:style>
  <w:style w:type="character" w:customStyle="1" w:styleId="Ttulo4Car">
    <w:name w:val="Título 4 Car"/>
    <w:basedOn w:val="Fuentedeprrafopredeter"/>
    <w:link w:val="Ttulo4"/>
    <w:uiPriority w:val="9"/>
    <w:semiHidden/>
    <w:rsid w:val="00774030"/>
    <w:rPr>
      <w:smallCaps/>
      <w:spacing w:val="10"/>
      <w:sz w:val="22"/>
      <w:szCs w:val="22"/>
    </w:rPr>
  </w:style>
  <w:style w:type="character" w:customStyle="1" w:styleId="Ttulo5Car">
    <w:name w:val="Título 5 Car"/>
    <w:basedOn w:val="Fuentedeprrafopredeter"/>
    <w:link w:val="Ttulo5"/>
    <w:uiPriority w:val="9"/>
    <w:semiHidden/>
    <w:rsid w:val="00774030"/>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774030"/>
    <w:rPr>
      <w:smallCaps/>
      <w:color w:val="C0504D" w:themeColor="accent2"/>
      <w:spacing w:val="5"/>
      <w:sz w:val="22"/>
    </w:rPr>
  </w:style>
  <w:style w:type="character" w:customStyle="1" w:styleId="Ttulo7Car">
    <w:name w:val="Título 7 Car"/>
    <w:basedOn w:val="Fuentedeprrafopredeter"/>
    <w:link w:val="Ttulo7"/>
    <w:uiPriority w:val="9"/>
    <w:semiHidden/>
    <w:rsid w:val="00774030"/>
    <w:rPr>
      <w:b/>
      <w:smallCaps/>
      <w:color w:val="C0504D" w:themeColor="accent2"/>
      <w:spacing w:val="10"/>
    </w:rPr>
  </w:style>
  <w:style w:type="character" w:customStyle="1" w:styleId="Ttulo8Car">
    <w:name w:val="Título 8 Car"/>
    <w:basedOn w:val="Fuentedeprrafopredeter"/>
    <w:link w:val="Ttulo8"/>
    <w:uiPriority w:val="9"/>
    <w:semiHidden/>
    <w:rsid w:val="00774030"/>
    <w:rPr>
      <w:b/>
      <w:i/>
      <w:smallCaps/>
      <w:color w:val="943634" w:themeColor="accent2" w:themeShade="BF"/>
    </w:rPr>
  </w:style>
  <w:style w:type="character" w:customStyle="1" w:styleId="Ttulo9Car">
    <w:name w:val="Título 9 Car"/>
    <w:basedOn w:val="Fuentedeprrafopredeter"/>
    <w:link w:val="Ttulo9"/>
    <w:uiPriority w:val="9"/>
    <w:semiHidden/>
    <w:rsid w:val="00774030"/>
    <w:rPr>
      <w:b/>
      <w:i/>
      <w:smallCaps/>
      <w:color w:val="622423" w:themeColor="accent2" w:themeShade="7F"/>
    </w:rPr>
  </w:style>
  <w:style w:type="paragraph" w:styleId="Epgrafe">
    <w:name w:val="caption"/>
    <w:basedOn w:val="Normal"/>
    <w:next w:val="Normal"/>
    <w:uiPriority w:val="35"/>
    <w:semiHidden/>
    <w:unhideWhenUsed/>
    <w:qFormat/>
    <w:rsid w:val="00774030"/>
    <w:rPr>
      <w:b/>
      <w:bCs/>
      <w:caps/>
      <w:sz w:val="16"/>
      <w:szCs w:val="18"/>
    </w:rPr>
  </w:style>
  <w:style w:type="paragraph" w:styleId="Ttulo">
    <w:name w:val="Title"/>
    <w:basedOn w:val="Normal"/>
    <w:next w:val="Normal"/>
    <w:link w:val="TtuloCar"/>
    <w:uiPriority w:val="10"/>
    <w:qFormat/>
    <w:rsid w:val="00774030"/>
    <w:pPr>
      <w:pBdr>
        <w:top w:val="single" w:sz="12" w:space="1" w:color="C0504D"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774030"/>
    <w:rPr>
      <w:smallCaps/>
      <w:sz w:val="48"/>
      <w:szCs w:val="48"/>
    </w:rPr>
  </w:style>
  <w:style w:type="paragraph" w:styleId="Subttulo">
    <w:name w:val="Subtitle"/>
    <w:basedOn w:val="Normal"/>
    <w:next w:val="Normal"/>
    <w:link w:val="SubttuloCar"/>
    <w:uiPriority w:val="11"/>
    <w:qFormat/>
    <w:rsid w:val="00774030"/>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774030"/>
    <w:rPr>
      <w:rFonts w:asciiTheme="majorHAnsi" w:eastAsiaTheme="majorEastAsia" w:hAnsiTheme="majorHAnsi" w:cstheme="majorBidi"/>
      <w:szCs w:val="22"/>
    </w:rPr>
  </w:style>
  <w:style w:type="character" w:styleId="Textoennegrita">
    <w:name w:val="Strong"/>
    <w:uiPriority w:val="22"/>
    <w:qFormat/>
    <w:rsid w:val="00774030"/>
    <w:rPr>
      <w:b/>
      <w:color w:val="C0504D" w:themeColor="accent2"/>
    </w:rPr>
  </w:style>
  <w:style w:type="character" w:styleId="nfasis">
    <w:name w:val="Emphasis"/>
    <w:uiPriority w:val="20"/>
    <w:qFormat/>
    <w:rsid w:val="00774030"/>
    <w:rPr>
      <w:b/>
      <w:i/>
      <w:spacing w:val="10"/>
    </w:rPr>
  </w:style>
  <w:style w:type="paragraph" w:styleId="Sinespaciado">
    <w:name w:val="No Spacing"/>
    <w:basedOn w:val="Normal"/>
    <w:link w:val="SinespaciadoCar"/>
    <w:uiPriority w:val="1"/>
    <w:qFormat/>
    <w:rsid w:val="00774030"/>
    <w:pPr>
      <w:spacing w:after="0" w:line="240" w:lineRule="auto"/>
    </w:pPr>
  </w:style>
  <w:style w:type="character" w:customStyle="1" w:styleId="SinespaciadoCar">
    <w:name w:val="Sin espaciado Car"/>
    <w:basedOn w:val="Fuentedeprrafopredeter"/>
    <w:link w:val="Sinespaciado"/>
    <w:uiPriority w:val="1"/>
    <w:rsid w:val="00774030"/>
  </w:style>
  <w:style w:type="paragraph" w:styleId="Prrafodelista">
    <w:name w:val="List Paragraph"/>
    <w:basedOn w:val="Normal"/>
    <w:uiPriority w:val="34"/>
    <w:qFormat/>
    <w:rsid w:val="00774030"/>
    <w:pPr>
      <w:ind w:left="720"/>
      <w:contextualSpacing/>
    </w:pPr>
  </w:style>
  <w:style w:type="paragraph" w:styleId="Cita">
    <w:name w:val="Quote"/>
    <w:basedOn w:val="Normal"/>
    <w:next w:val="Normal"/>
    <w:link w:val="CitaCar"/>
    <w:uiPriority w:val="29"/>
    <w:qFormat/>
    <w:rsid w:val="00774030"/>
    <w:rPr>
      <w:i/>
    </w:rPr>
  </w:style>
  <w:style w:type="character" w:customStyle="1" w:styleId="CitaCar">
    <w:name w:val="Cita Car"/>
    <w:basedOn w:val="Fuentedeprrafopredeter"/>
    <w:link w:val="Cita"/>
    <w:uiPriority w:val="29"/>
    <w:rsid w:val="00774030"/>
    <w:rPr>
      <w:i/>
    </w:rPr>
  </w:style>
  <w:style w:type="paragraph" w:styleId="Citadestacada">
    <w:name w:val="Intense Quote"/>
    <w:basedOn w:val="Normal"/>
    <w:next w:val="Normal"/>
    <w:link w:val="CitadestacadaCar"/>
    <w:uiPriority w:val="30"/>
    <w:qFormat/>
    <w:rsid w:val="0077403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774030"/>
    <w:rPr>
      <w:b/>
      <w:i/>
      <w:color w:val="FFFFFF" w:themeColor="background1"/>
      <w:shd w:val="clear" w:color="auto" w:fill="C0504D" w:themeFill="accent2"/>
    </w:rPr>
  </w:style>
  <w:style w:type="character" w:styleId="nfasissutil">
    <w:name w:val="Subtle Emphasis"/>
    <w:uiPriority w:val="19"/>
    <w:qFormat/>
    <w:rsid w:val="00774030"/>
    <w:rPr>
      <w:i/>
    </w:rPr>
  </w:style>
  <w:style w:type="character" w:styleId="nfasisintenso">
    <w:name w:val="Intense Emphasis"/>
    <w:uiPriority w:val="21"/>
    <w:qFormat/>
    <w:rsid w:val="00774030"/>
    <w:rPr>
      <w:b/>
      <w:i/>
      <w:color w:val="C0504D" w:themeColor="accent2"/>
      <w:spacing w:val="10"/>
    </w:rPr>
  </w:style>
  <w:style w:type="character" w:styleId="Referenciasutil">
    <w:name w:val="Subtle Reference"/>
    <w:uiPriority w:val="31"/>
    <w:qFormat/>
    <w:rsid w:val="00774030"/>
    <w:rPr>
      <w:b/>
    </w:rPr>
  </w:style>
  <w:style w:type="character" w:styleId="Referenciaintensa">
    <w:name w:val="Intense Reference"/>
    <w:uiPriority w:val="32"/>
    <w:qFormat/>
    <w:rsid w:val="00774030"/>
    <w:rPr>
      <w:b/>
      <w:bCs/>
      <w:smallCaps/>
      <w:spacing w:val="5"/>
      <w:sz w:val="22"/>
      <w:szCs w:val="22"/>
      <w:u w:val="single"/>
    </w:rPr>
  </w:style>
  <w:style w:type="character" w:styleId="Ttulodellibro">
    <w:name w:val="Book Title"/>
    <w:uiPriority w:val="33"/>
    <w:qFormat/>
    <w:rsid w:val="00774030"/>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774030"/>
    <w:pPr>
      <w:outlineLvl w:val="9"/>
    </w:pPr>
    <w:rPr>
      <w:lang w:bidi="en-US"/>
    </w:rPr>
  </w:style>
  <w:style w:type="paragraph" w:styleId="Encabezado">
    <w:name w:val="header"/>
    <w:basedOn w:val="Normal"/>
    <w:link w:val="EncabezadoCar"/>
    <w:uiPriority w:val="99"/>
    <w:unhideWhenUsed/>
    <w:rsid w:val="00CA26F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A26F0"/>
  </w:style>
  <w:style w:type="paragraph" w:styleId="Piedepgina">
    <w:name w:val="footer"/>
    <w:basedOn w:val="Normal"/>
    <w:link w:val="PiedepginaCar"/>
    <w:uiPriority w:val="99"/>
    <w:unhideWhenUsed/>
    <w:rsid w:val="00CA26F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A26F0"/>
  </w:style>
  <w:style w:type="paragraph" w:styleId="Textodeglobo">
    <w:name w:val="Balloon Text"/>
    <w:basedOn w:val="Normal"/>
    <w:link w:val="TextodegloboCar"/>
    <w:uiPriority w:val="99"/>
    <w:semiHidden/>
    <w:unhideWhenUsed/>
    <w:rsid w:val="00547D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7D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s-E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030"/>
  </w:style>
  <w:style w:type="paragraph" w:styleId="Ttulo1">
    <w:name w:val="heading 1"/>
    <w:basedOn w:val="Normal"/>
    <w:next w:val="Normal"/>
    <w:link w:val="Ttulo1Car"/>
    <w:uiPriority w:val="9"/>
    <w:qFormat/>
    <w:rsid w:val="00774030"/>
    <w:pPr>
      <w:spacing w:before="300" w:after="40"/>
      <w:jc w:val="left"/>
      <w:outlineLvl w:val="0"/>
    </w:pPr>
    <w:rPr>
      <w:smallCaps/>
      <w:spacing w:val="5"/>
      <w:sz w:val="32"/>
      <w:szCs w:val="32"/>
    </w:rPr>
  </w:style>
  <w:style w:type="paragraph" w:styleId="Ttulo2">
    <w:name w:val="heading 2"/>
    <w:basedOn w:val="Normal"/>
    <w:next w:val="Normal"/>
    <w:link w:val="Ttulo2Car"/>
    <w:uiPriority w:val="9"/>
    <w:semiHidden/>
    <w:unhideWhenUsed/>
    <w:qFormat/>
    <w:rsid w:val="00774030"/>
    <w:pPr>
      <w:spacing w:before="240" w:after="80"/>
      <w:jc w:val="left"/>
      <w:outlineLvl w:val="1"/>
    </w:pPr>
    <w:rPr>
      <w:smallCaps/>
      <w:spacing w:val="5"/>
      <w:sz w:val="28"/>
      <w:szCs w:val="28"/>
    </w:rPr>
  </w:style>
  <w:style w:type="paragraph" w:styleId="Ttulo3">
    <w:name w:val="heading 3"/>
    <w:basedOn w:val="Normal"/>
    <w:next w:val="Normal"/>
    <w:link w:val="Ttulo3Car"/>
    <w:uiPriority w:val="9"/>
    <w:semiHidden/>
    <w:unhideWhenUsed/>
    <w:qFormat/>
    <w:rsid w:val="00774030"/>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774030"/>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774030"/>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774030"/>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774030"/>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774030"/>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774030"/>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4030"/>
    <w:rPr>
      <w:smallCaps/>
      <w:spacing w:val="5"/>
      <w:sz w:val="32"/>
      <w:szCs w:val="32"/>
    </w:rPr>
  </w:style>
  <w:style w:type="character" w:customStyle="1" w:styleId="Ttulo2Car">
    <w:name w:val="Título 2 Car"/>
    <w:basedOn w:val="Fuentedeprrafopredeter"/>
    <w:link w:val="Ttulo2"/>
    <w:uiPriority w:val="9"/>
    <w:semiHidden/>
    <w:rsid w:val="00774030"/>
    <w:rPr>
      <w:smallCaps/>
      <w:spacing w:val="5"/>
      <w:sz w:val="28"/>
      <w:szCs w:val="28"/>
    </w:rPr>
  </w:style>
  <w:style w:type="character" w:customStyle="1" w:styleId="Ttulo3Car">
    <w:name w:val="Título 3 Car"/>
    <w:basedOn w:val="Fuentedeprrafopredeter"/>
    <w:link w:val="Ttulo3"/>
    <w:uiPriority w:val="9"/>
    <w:semiHidden/>
    <w:rsid w:val="00774030"/>
    <w:rPr>
      <w:smallCaps/>
      <w:spacing w:val="5"/>
      <w:sz w:val="24"/>
      <w:szCs w:val="24"/>
    </w:rPr>
  </w:style>
  <w:style w:type="character" w:customStyle="1" w:styleId="Ttulo4Car">
    <w:name w:val="Título 4 Car"/>
    <w:basedOn w:val="Fuentedeprrafopredeter"/>
    <w:link w:val="Ttulo4"/>
    <w:uiPriority w:val="9"/>
    <w:semiHidden/>
    <w:rsid w:val="00774030"/>
    <w:rPr>
      <w:smallCaps/>
      <w:spacing w:val="10"/>
      <w:sz w:val="22"/>
      <w:szCs w:val="22"/>
    </w:rPr>
  </w:style>
  <w:style w:type="character" w:customStyle="1" w:styleId="Ttulo5Car">
    <w:name w:val="Título 5 Car"/>
    <w:basedOn w:val="Fuentedeprrafopredeter"/>
    <w:link w:val="Ttulo5"/>
    <w:uiPriority w:val="9"/>
    <w:semiHidden/>
    <w:rsid w:val="00774030"/>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774030"/>
    <w:rPr>
      <w:smallCaps/>
      <w:color w:val="C0504D" w:themeColor="accent2"/>
      <w:spacing w:val="5"/>
      <w:sz w:val="22"/>
    </w:rPr>
  </w:style>
  <w:style w:type="character" w:customStyle="1" w:styleId="Ttulo7Car">
    <w:name w:val="Título 7 Car"/>
    <w:basedOn w:val="Fuentedeprrafopredeter"/>
    <w:link w:val="Ttulo7"/>
    <w:uiPriority w:val="9"/>
    <w:semiHidden/>
    <w:rsid w:val="00774030"/>
    <w:rPr>
      <w:b/>
      <w:smallCaps/>
      <w:color w:val="C0504D" w:themeColor="accent2"/>
      <w:spacing w:val="10"/>
    </w:rPr>
  </w:style>
  <w:style w:type="character" w:customStyle="1" w:styleId="Ttulo8Car">
    <w:name w:val="Título 8 Car"/>
    <w:basedOn w:val="Fuentedeprrafopredeter"/>
    <w:link w:val="Ttulo8"/>
    <w:uiPriority w:val="9"/>
    <w:semiHidden/>
    <w:rsid w:val="00774030"/>
    <w:rPr>
      <w:b/>
      <w:i/>
      <w:smallCaps/>
      <w:color w:val="943634" w:themeColor="accent2" w:themeShade="BF"/>
    </w:rPr>
  </w:style>
  <w:style w:type="character" w:customStyle="1" w:styleId="Ttulo9Car">
    <w:name w:val="Título 9 Car"/>
    <w:basedOn w:val="Fuentedeprrafopredeter"/>
    <w:link w:val="Ttulo9"/>
    <w:uiPriority w:val="9"/>
    <w:semiHidden/>
    <w:rsid w:val="00774030"/>
    <w:rPr>
      <w:b/>
      <w:i/>
      <w:smallCaps/>
      <w:color w:val="622423" w:themeColor="accent2" w:themeShade="7F"/>
    </w:rPr>
  </w:style>
  <w:style w:type="paragraph" w:styleId="Epgrafe">
    <w:name w:val="caption"/>
    <w:basedOn w:val="Normal"/>
    <w:next w:val="Normal"/>
    <w:uiPriority w:val="35"/>
    <w:semiHidden/>
    <w:unhideWhenUsed/>
    <w:qFormat/>
    <w:rsid w:val="00774030"/>
    <w:rPr>
      <w:b/>
      <w:bCs/>
      <w:caps/>
      <w:sz w:val="16"/>
      <w:szCs w:val="18"/>
    </w:rPr>
  </w:style>
  <w:style w:type="paragraph" w:styleId="Ttulo">
    <w:name w:val="Title"/>
    <w:basedOn w:val="Normal"/>
    <w:next w:val="Normal"/>
    <w:link w:val="TtuloCar"/>
    <w:uiPriority w:val="10"/>
    <w:qFormat/>
    <w:rsid w:val="00774030"/>
    <w:pPr>
      <w:pBdr>
        <w:top w:val="single" w:sz="12" w:space="1" w:color="C0504D"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774030"/>
    <w:rPr>
      <w:smallCaps/>
      <w:sz w:val="48"/>
      <w:szCs w:val="48"/>
    </w:rPr>
  </w:style>
  <w:style w:type="paragraph" w:styleId="Subttulo">
    <w:name w:val="Subtitle"/>
    <w:basedOn w:val="Normal"/>
    <w:next w:val="Normal"/>
    <w:link w:val="SubttuloCar"/>
    <w:uiPriority w:val="11"/>
    <w:qFormat/>
    <w:rsid w:val="00774030"/>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774030"/>
    <w:rPr>
      <w:rFonts w:asciiTheme="majorHAnsi" w:eastAsiaTheme="majorEastAsia" w:hAnsiTheme="majorHAnsi" w:cstheme="majorBidi"/>
      <w:szCs w:val="22"/>
    </w:rPr>
  </w:style>
  <w:style w:type="character" w:styleId="Textoennegrita">
    <w:name w:val="Strong"/>
    <w:uiPriority w:val="22"/>
    <w:qFormat/>
    <w:rsid w:val="00774030"/>
    <w:rPr>
      <w:b/>
      <w:color w:val="C0504D" w:themeColor="accent2"/>
    </w:rPr>
  </w:style>
  <w:style w:type="character" w:styleId="nfasis">
    <w:name w:val="Emphasis"/>
    <w:uiPriority w:val="20"/>
    <w:qFormat/>
    <w:rsid w:val="00774030"/>
    <w:rPr>
      <w:b/>
      <w:i/>
      <w:spacing w:val="10"/>
    </w:rPr>
  </w:style>
  <w:style w:type="paragraph" w:styleId="Sinespaciado">
    <w:name w:val="No Spacing"/>
    <w:basedOn w:val="Normal"/>
    <w:link w:val="SinespaciadoCar"/>
    <w:uiPriority w:val="1"/>
    <w:qFormat/>
    <w:rsid w:val="00774030"/>
    <w:pPr>
      <w:spacing w:after="0" w:line="240" w:lineRule="auto"/>
    </w:pPr>
  </w:style>
  <w:style w:type="character" w:customStyle="1" w:styleId="SinespaciadoCar">
    <w:name w:val="Sin espaciado Car"/>
    <w:basedOn w:val="Fuentedeprrafopredeter"/>
    <w:link w:val="Sinespaciado"/>
    <w:uiPriority w:val="1"/>
    <w:rsid w:val="00774030"/>
  </w:style>
  <w:style w:type="paragraph" w:styleId="Prrafodelista">
    <w:name w:val="List Paragraph"/>
    <w:basedOn w:val="Normal"/>
    <w:uiPriority w:val="34"/>
    <w:qFormat/>
    <w:rsid w:val="00774030"/>
    <w:pPr>
      <w:ind w:left="720"/>
      <w:contextualSpacing/>
    </w:pPr>
  </w:style>
  <w:style w:type="paragraph" w:styleId="Cita">
    <w:name w:val="Quote"/>
    <w:basedOn w:val="Normal"/>
    <w:next w:val="Normal"/>
    <w:link w:val="CitaCar"/>
    <w:uiPriority w:val="29"/>
    <w:qFormat/>
    <w:rsid w:val="00774030"/>
    <w:rPr>
      <w:i/>
    </w:rPr>
  </w:style>
  <w:style w:type="character" w:customStyle="1" w:styleId="CitaCar">
    <w:name w:val="Cita Car"/>
    <w:basedOn w:val="Fuentedeprrafopredeter"/>
    <w:link w:val="Cita"/>
    <w:uiPriority w:val="29"/>
    <w:rsid w:val="00774030"/>
    <w:rPr>
      <w:i/>
    </w:rPr>
  </w:style>
  <w:style w:type="paragraph" w:styleId="Citadestacada">
    <w:name w:val="Intense Quote"/>
    <w:basedOn w:val="Normal"/>
    <w:next w:val="Normal"/>
    <w:link w:val="CitadestacadaCar"/>
    <w:uiPriority w:val="30"/>
    <w:qFormat/>
    <w:rsid w:val="0077403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774030"/>
    <w:rPr>
      <w:b/>
      <w:i/>
      <w:color w:val="FFFFFF" w:themeColor="background1"/>
      <w:shd w:val="clear" w:color="auto" w:fill="C0504D" w:themeFill="accent2"/>
    </w:rPr>
  </w:style>
  <w:style w:type="character" w:styleId="nfasissutil">
    <w:name w:val="Subtle Emphasis"/>
    <w:uiPriority w:val="19"/>
    <w:qFormat/>
    <w:rsid w:val="00774030"/>
    <w:rPr>
      <w:i/>
    </w:rPr>
  </w:style>
  <w:style w:type="character" w:styleId="nfasisintenso">
    <w:name w:val="Intense Emphasis"/>
    <w:uiPriority w:val="21"/>
    <w:qFormat/>
    <w:rsid w:val="00774030"/>
    <w:rPr>
      <w:b/>
      <w:i/>
      <w:color w:val="C0504D" w:themeColor="accent2"/>
      <w:spacing w:val="10"/>
    </w:rPr>
  </w:style>
  <w:style w:type="character" w:styleId="Referenciasutil">
    <w:name w:val="Subtle Reference"/>
    <w:uiPriority w:val="31"/>
    <w:qFormat/>
    <w:rsid w:val="00774030"/>
    <w:rPr>
      <w:b/>
    </w:rPr>
  </w:style>
  <w:style w:type="character" w:styleId="Referenciaintensa">
    <w:name w:val="Intense Reference"/>
    <w:uiPriority w:val="32"/>
    <w:qFormat/>
    <w:rsid w:val="00774030"/>
    <w:rPr>
      <w:b/>
      <w:bCs/>
      <w:smallCaps/>
      <w:spacing w:val="5"/>
      <w:sz w:val="22"/>
      <w:szCs w:val="22"/>
      <w:u w:val="single"/>
    </w:rPr>
  </w:style>
  <w:style w:type="character" w:styleId="Ttulodellibro">
    <w:name w:val="Book Title"/>
    <w:uiPriority w:val="33"/>
    <w:qFormat/>
    <w:rsid w:val="00774030"/>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774030"/>
    <w:pPr>
      <w:outlineLvl w:val="9"/>
    </w:pPr>
    <w:rPr>
      <w:lang w:bidi="en-US"/>
    </w:rPr>
  </w:style>
  <w:style w:type="paragraph" w:styleId="Encabezado">
    <w:name w:val="header"/>
    <w:basedOn w:val="Normal"/>
    <w:link w:val="EncabezadoCar"/>
    <w:uiPriority w:val="99"/>
    <w:unhideWhenUsed/>
    <w:rsid w:val="00CA26F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A26F0"/>
  </w:style>
  <w:style w:type="paragraph" w:styleId="Piedepgina">
    <w:name w:val="footer"/>
    <w:basedOn w:val="Normal"/>
    <w:link w:val="PiedepginaCar"/>
    <w:uiPriority w:val="99"/>
    <w:unhideWhenUsed/>
    <w:rsid w:val="00CA26F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A26F0"/>
  </w:style>
  <w:style w:type="paragraph" w:styleId="Textodeglobo">
    <w:name w:val="Balloon Text"/>
    <w:basedOn w:val="Normal"/>
    <w:link w:val="TextodegloboCar"/>
    <w:uiPriority w:val="99"/>
    <w:semiHidden/>
    <w:unhideWhenUsed/>
    <w:rsid w:val="00547D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7D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E01D4-C030-4491-90AB-3FBFEA967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25</Pages>
  <Words>10930</Words>
  <Characters>60115</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 Jesus</dc:creator>
  <cp:lastModifiedBy>Antonio Jesus</cp:lastModifiedBy>
  <cp:revision>82</cp:revision>
  <cp:lastPrinted>2016-06-05T15:35:00Z</cp:lastPrinted>
  <dcterms:created xsi:type="dcterms:W3CDTF">2016-06-03T08:16:00Z</dcterms:created>
  <dcterms:modified xsi:type="dcterms:W3CDTF">2016-06-05T15:36:00Z</dcterms:modified>
</cp:coreProperties>
</file>